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80839" w:rsidRPr="00191DE7" w:rsidRDefault="00120F6C">
      <w:pPr>
        <w:spacing w:before="107"/>
        <w:ind w:left="739"/>
        <w:rPr>
          <w:rFonts w:ascii="Arial" w:hAnsi="Arial"/>
          <w:sz w:val="16"/>
          <w:lang w:val="en-US"/>
        </w:rPr>
      </w:pPr>
      <w:r w:rsidRPr="00191DE7">
        <w:rPr>
          <w:rFonts w:ascii="Arial" w:hAnsi="Arial"/>
          <w:sz w:val="16"/>
          <w:lang w:val="en-US"/>
        </w:rPr>
        <w:t xml:space="preserve">10 </w:t>
      </w:r>
      <w:r w:rsidRPr="00191DE7">
        <w:rPr>
          <w:rFonts w:ascii="Arial" w:hAnsi="Arial"/>
          <w:sz w:val="16"/>
          <w:vertAlign w:val="superscript"/>
          <w:lang w:val="en-US"/>
        </w:rPr>
        <w:t>e</w:t>
      </w:r>
      <w:r w:rsidRPr="00191DE7">
        <w:rPr>
          <w:rFonts w:ascii="Arial" w:hAnsi="Arial"/>
          <w:sz w:val="16"/>
          <w:lang w:val="en-US"/>
        </w:rPr>
        <w:t xml:space="preserve"> r e n c o n t r e s </w:t>
      </w:r>
      <w:proofErr w:type="spellStart"/>
      <w:r w:rsidRPr="00191DE7">
        <w:rPr>
          <w:rFonts w:ascii="Arial" w:hAnsi="Arial"/>
          <w:sz w:val="16"/>
          <w:lang w:val="en-US"/>
        </w:rPr>
        <w:t>s</w:t>
      </w:r>
      <w:proofErr w:type="spellEnd"/>
      <w:r w:rsidRPr="00191DE7">
        <w:rPr>
          <w:rFonts w:ascii="Arial" w:hAnsi="Arial"/>
          <w:sz w:val="16"/>
          <w:lang w:val="en-US"/>
        </w:rPr>
        <w:t xml:space="preserve"> c </w:t>
      </w:r>
      <w:proofErr w:type="spellStart"/>
      <w:r w:rsidRPr="00191DE7">
        <w:rPr>
          <w:rFonts w:ascii="Arial" w:hAnsi="Arial"/>
          <w:sz w:val="16"/>
          <w:lang w:val="en-US"/>
        </w:rPr>
        <w:t>i</w:t>
      </w:r>
      <w:proofErr w:type="spellEnd"/>
      <w:r w:rsidRPr="00191DE7">
        <w:rPr>
          <w:rFonts w:ascii="Arial" w:hAnsi="Arial"/>
          <w:sz w:val="16"/>
          <w:lang w:val="en-US"/>
        </w:rPr>
        <w:t xml:space="preserve"> e n t </w:t>
      </w:r>
      <w:proofErr w:type="spellStart"/>
      <w:r w:rsidRPr="00191DE7">
        <w:rPr>
          <w:rFonts w:ascii="Arial" w:hAnsi="Arial"/>
          <w:sz w:val="16"/>
          <w:lang w:val="en-US"/>
        </w:rPr>
        <w:t>i</w:t>
      </w:r>
      <w:proofErr w:type="spellEnd"/>
      <w:r w:rsidRPr="00191DE7">
        <w:rPr>
          <w:rFonts w:ascii="Arial" w:hAnsi="Arial"/>
          <w:sz w:val="16"/>
          <w:lang w:val="en-US"/>
        </w:rPr>
        <w:t xml:space="preserve"> f </w:t>
      </w:r>
      <w:proofErr w:type="spellStart"/>
      <w:r w:rsidRPr="00191DE7">
        <w:rPr>
          <w:rFonts w:ascii="Arial" w:hAnsi="Arial"/>
          <w:sz w:val="16"/>
          <w:lang w:val="en-US"/>
        </w:rPr>
        <w:t>i</w:t>
      </w:r>
      <w:proofErr w:type="spellEnd"/>
      <w:r w:rsidRPr="00191DE7">
        <w:rPr>
          <w:rFonts w:ascii="Arial" w:hAnsi="Arial"/>
          <w:sz w:val="16"/>
          <w:lang w:val="en-US"/>
        </w:rPr>
        <w:t xml:space="preserve"> q u e s d e l ’ A R D </w:t>
      </w:r>
      <w:proofErr w:type="spellStart"/>
      <w:r w:rsidRPr="00191DE7">
        <w:rPr>
          <w:rFonts w:ascii="Arial" w:hAnsi="Arial"/>
          <w:sz w:val="16"/>
          <w:lang w:val="en-US"/>
        </w:rPr>
        <w:t>i</w:t>
      </w:r>
      <w:proofErr w:type="spellEnd"/>
      <w:r w:rsidRPr="00191DE7">
        <w:rPr>
          <w:rFonts w:ascii="Arial" w:hAnsi="Arial"/>
          <w:sz w:val="16"/>
          <w:lang w:val="en-US"/>
        </w:rPr>
        <w:t xml:space="preserve"> S T – 2 7 , 2 8 , 2 9 e t 3 0 m a r s 2 0 1 8 à S a </w:t>
      </w:r>
      <w:proofErr w:type="spellStart"/>
      <w:r w:rsidRPr="00191DE7">
        <w:rPr>
          <w:rFonts w:ascii="Arial" w:hAnsi="Arial"/>
          <w:sz w:val="16"/>
          <w:lang w:val="en-US"/>
        </w:rPr>
        <w:t>i</w:t>
      </w:r>
      <w:proofErr w:type="spellEnd"/>
      <w:r w:rsidRPr="00191DE7">
        <w:rPr>
          <w:rFonts w:ascii="Arial" w:hAnsi="Arial"/>
          <w:sz w:val="16"/>
          <w:lang w:val="en-US"/>
        </w:rPr>
        <w:t xml:space="preserve"> n t - M a l o</w:t>
      </w:r>
    </w:p>
    <w:p w:rsidR="00880839" w:rsidRPr="00191DE7" w:rsidRDefault="00880839">
      <w:pPr>
        <w:pStyle w:val="Corpsdetexte"/>
        <w:rPr>
          <w:rFonts w:ascii="Arial"/>
          <w:sz w:val="20"/>
          <w:lang w:val="en-US"/>
        </w:rPr>
      </w:pPr>
    </w:p>
    <w:p w:rsidR="00880839" w:rsidRPr="00191DE7" w:rsidRDefault="00880839">
      <w:pPr>
        <w:pStyle w:val="Corpsdetexte"/>
        <w:rPr>
          <w:rFonts w:ascii="Arial"/>
          <w:sz w:val="20"/>
          <w:lang w:val="en-US"/>
        </w:rPr>
      </w:pPr>
    </w:p>
    <w:p w:rsidR="00880839" w:rsidRPr="00191DE7" w:rsidRDefault="00880839">
      <w:pPr>
        <w:pStyle w:val="Corpsdetexte"/>
        <w:spacing w:before="8"/>
        <w:rPr>
          <w:rFonts w:ascii="Arial"/>
          <w:sz w:val="18"/>
          <w:lang w:val="en-US"/>
        </w:rPr>
      </w:pPr>
    </w:p>
    <w:p w:rsidR="00880839" w:rsidRPr="00191DE7" w:rsidRDefault="00880839">
      <w:pPr>
        <w:rPr>
          <w:rFonts w:ascii="Arial"/>
          <w:sz w:val="18"/>
          <w:lang w:val="en-US"/>
        </w:rPr>
        <w:sectPr w:rsidR="00880839" w:rsidRPr="00191DE7">
          <w:type w:val="continuous"/>
          <w:pgSz w:w="11910" w:h="16840"/>
          <w:pgMar w:top="1080" w:right="620" w:bottom="280" w:left="1440" w:header="720" w:footer="720" w:gutter="0"/>
          <w:cols w:space="720"/>
        </w:sectPr>
      </w:pPr>
    </w:p>
    <w:p w:rsidR="00880839" w:rsidRPr="00191DE7" w:rsidRDefault="00880839">
      <w:pPr>
        <w:pStyle w:val="Corpsdetexte"/>
        <w:rPr>
          <w:rFonts w:ascii="Arial"/>
          <w:sz w:val="26"/>
          <w:lang w:val="en-US"/>
        </w:rPr>
      </w:pPr>
    </w:p>
    <w:p w:rsidR="00880839" w:rsidRPr="00191DE7" w:rsidRDefault="00880839">
      <w:pPr>
        <w:pStyle w:val="Corpsdetexte"/>
        <w:rPr>
          <w:rFonts w:ascii="Arial"/>
          <w:sz w:val="26"/>
          <w:lang w:val="en-US"/>
        </w:rPr>
      </w:pPr>
    </w:p>
    <w:p w:rsidR="00880839" w:rsidRPr="00191DE7" w:rsidRDefault="00880839">
      <w:pPr>
        <w:pStyle w:val="Corpsdetexte"/>
        <w:rPr>
          <w:rFonts w:ascii="Arial"/>
          <w:sz w:val="26"/>
          <w:lang w:val="en-US"/>
        </w:rPr>
      </w:pPr>
    </w:p>
    <w:p w:rsidR="00880839" w:rsidRPr="00191DE7" w:rsidRDefault="00880839">
      <w:pPr>
        <w:pStyle w:val="Corpsdetexte"/>
        <w:rPr>
          <w:rFonts w:ascii="Arial"/>
          <w:sz w:val="26"/>
          <w:lang w:val="en-US"/>
        </w:rPr>
      </w:pPr>
    </w:p>
    <w:p w:rsidR="00880839" w:rsidRPr="00191DE7" w:rsidRDefault="00880839">
      <w:pPr>
        <w:pStyle w:val="Corpsdetexte"/>
        <w:rPr>
          <w:rFonts w:ascii="Arial"/>
          <w:sz w:val="26"/>
          <w:lang w:val="en-US"/>
        </w:rPr>
      </w:pPr>
    </w:p>
    <w:p w:rsidR="00880839" w:rsidRPr="00191DE7" w:rsidRDefault="00880839">
      <w:pPr>
        <w:pStyle w:val="Corpsdetexte"/>
        <w:rPr>
          <w:rFonts w:ascii="Arial"/>
          <w:sz w:val="26"/>
          <w:lang w:val="en-US"/>
        </w:rPr>
      </w:pPr>
    </w:p>
    <w:p w:rsidR="00880839" w:rsidRPr="00191DE7" w:rsidRDefault="00880839">
      <w:pPr>
        <w:pStyle w:val="Corpsdetexte"/>
        <w:rPr>
          <w:rFonts w:ascii="Arial"/>
          <w:sz w:val="26"/>
          <w:lang w:val="en-US"/>
        </w:rPr>
      </w:pPr>
    </w:p>
    <w:p w:rsidR="00880839" w:rsidRPr="00191DE7" w:rsidRDefault="00880839">
      <w:pPr>
        <w:pStyle w:val="Corpsdetexte"/>
        <w:rPr>
          <w:rFonts w:ascii="Arial"/>
          <w:sz w:val="26"/>
          <w:lang w:val="en-US"/>
        </w:rPr>
      </w:pPr>
    </w:p>
    <w:p w:rsidR="00880839" w:rsidRPr="00191DE7" w:rsidRDefault="00880839">
      <w:pPr>
        <w:pStyle w:val="Corpsdetexte"/>
        <w:rPr>
          <w:rFonts w:ascii="Arial"/>
          <w:sz w:val="26"/>
          <w:lang w:val="en-US"/>
        </w:rPr>
      </w:pPr>
    </w:p>
    <w:p w:rsidR="00880839" w:rsidRPr="00191DE7" w:rsidRDefault="00880839">
      <w:pPr>
        <w:pStyle w:val="Corpsdetexte"/>
        <w:rPr>
          <w:rFonts w:ascii="Arial"/>
          <w:sz w:val="26"/>
          <w:lang w:val="en-US"/>
        </w:rPr>
      </w:pPr>
    </w:p>
    <w:p w:rsidR="00880839" w:rsidRPr="00191DE7" w:rsidRDefault="00880839">
      <w:pPr>
        <w:pStyle w:val="Corpsdetexte"/>
        <w:rPr>
          <w:rFonts w:ascii="Arial"/>
          <w:sz w:val="26"/>
          <w:lang w:val="en-US"/>
        </w:rPr>
      </w:pPr>
    </w:p>
    <w:p w:rsidR="00880839" w:rsidRPr="00191DE7" w:rsidRDefault="00880839">
      <w:pPr>
        <w:pStyle w:val="Corpsdetexte"/>
        <w:rPr>
          <w:rFonts w:ascii="Arial"/>
          <w:sz w:val="26"/>
          <w:lang w:val="en-US"/>
        </w:rPr>
      </w:pPr>
    </w:p>
    <w:p w:rsidR="00880839" w:rsidRPr="00191DE7" w:rsidRDefault="00880839">
      <w:pPr>
        <w:pStyle w:val="Corpsdetexte"/>
        <w:rPr>
          <w:rFonts w:ascii="Arial"/>
          <w:sz w:val="26"/>
          <w:lang w:val="en-US"/>
        </w:rPr>
      </w:pPr>
    </w:p>
    <w:p w:rsidR="00880839" w:rsidRPr="00191DE7" w:rsidRDefault="00880839">
      <w:pPr>
        <w:pStyle w:val="Corpsdetexte"/>
        <w:rPr>
          <w:rFonts w:ascii="Arial"/>
          <w:sz w:val="26"/>
          <w:lang w:val="en-US"/>
        </w:rPr>
      </w:pPr>
    </w:p>
    <w:p w:rsidR="00880839" w:rsidRDefault="00120F6C">
      <w:pPr>
        <w:spacing w:before="175"/>
        <w:ind w:left="686"/>
        <w:rPr>
          <w:rFonts w:ascii="Arial" w:hAnsi="Arial"/>
          <w:b/>
          <w:sz w:val="20"/>
        </w:rPr>
      </w:pPr>
      <w:r>
        <w:rPr>
          <w:rFonts w:ascii="Arial" w:hAnsi="Arial"/>
          <w:b/>
          <w:w w:val="95"/>
          <w:sz w:val="20"/>
        </w:rPr>
        <w:t>Résumé</w:t>
      </w:r>
    </w:p>
    <w:p w:rsidR="00880839" w:rsidRDefault="00120F6C">
      <w:pPr>
        <w:pStyle w:val="Titre1"/>
        <w:tabs>
          <w:tab w:val="left" w:pos="2108"/>
          <w:tab w:val="left" w:pos="2287"/>
          <w:tab w:val="left" w:pos="2610"/>
          <w:tab w:val="left" w:pos="2920"/>
          <w:tab w:val="left" w:pos="3796"/>
          <w:tab w:val="left" w:pos="4498"/>
          <w:tab w:val="left" w:pos="6000"/>
        </w:tabs>
        <w:spacing w:before="153" w:line="280" w:lineRule="auto"/>
        <w:ind w:right="2089" w:firstLine="259"/>
      </w:pPr>
      <w:r>
        <w:rPr>
          <w:b w:val="0"/>
        </w:rPr>
        <w:br w:type="column"/>
      </w:r>
      <w:r>
        <w:rPr>
          <w:spacing w:val="13"/>
          <w:w w:val="95"/>
        </w:rPr>
        <w:t>Rôle</w:t>
      </w:r>
      <w:r>
        <w:rPr>
          <w:spacing w:val="13"/>
          <w:w w:val="95"/>
        </w:rPr>
        <w:tab/>
      </w:r>
      <w:r>
        <w:rPr>
          <w:spacing w:val="13"/>
          <w:w w:val="95"/>
        </w:rPr>
        <w:tab/>
      </w:r>
      <w:r>
        <w:rPr>
          <w:spacing w:val="10"/>
        </w:rPr>
        <w:t>du</w:t>
      </w:r>
      <w:r>
        <w:rPr>
          <w:spacing w:val="10"/>
        </w:rPr>
        <w:tab/>
      </w:r>
      <w:r>
        <w:rPr>
          <w:spacing w:val="15"/>
        </w:rPr>
        <w:t>référent</w:t>
      </w:r>
      <w:r>
        <w:rPr>
          <w:spacing w:val="15"/>
        </w:rPr>
        <w:tab/>
      </w:r>
      <w:r>
        <w:rPr>
          <w:spacing w:val="15"/>
          <w:w w:val="95"/>
        </w:rPr>
        <w:t xml:space="preserve">empirique </w:t>
      </w:r>
      <w:r>
        <w:rPr>
          <w:spacing w:val="12"/>
        </w:rPr>
        <w:t>dans</w:t>
      </w:r>
      <w:r>
        <w:rPr>
          <w:spacing w:val="12"/>
        </w:rPr>
        <w:tab/>
      </w:r>
      <w:r>
        <w:rPr>
          <w:spacing w:val="7"/>
        </w:rPr>
        <w:t>le</w:t>
      </w:r>
      <w:r>
        <w:rPr>
          <w:spacing w:val="7"/>
        </w:rPr>
        <w:tab/>
      </w:r>
      <w:r>
        <w:rPr>
          <w:spacing w:val="13"/>
        </w:rPr>
        <w:t>débat</w:t>
      </w:r>
      <w:r>
        <w:rPr>
          <w:spacing w:val="13"/>
        </w:rPr>
        <w:tab/>
      </w:r>
      <w:r>
        <w:rPr>
          <w:spacing w:val="16"/>
        </w:rPr>
        <w:t>scientifique</w:t>
      </w:r>
      <w:r>
        <w:rPr>
          <w:spacing w:val="16"/>
        </w:rPr>
        <w:tab/>
      </w:r>
      <w:r>
        <w:t>à</w:t>
      </w:r>
    </w:p>
    <w:p w:rsidR="00880839" w:rsidRDefault="00120F6C">
      <w:pPr>
        <w:spacing w:before="5"/>
        <w:ind w:left="5078"/>
        <w:rPr>
          <w:rFonts w:ascii="Arial" w:hAnsi="Arial"/>
          <w:b/>
          <w:sz w:val="34"/>
        </w:rPr>
      </w:pPr>
      <w:proofErr w:type="gramStart"/>
      <w:r>
        <w:rPr>
          <w:rFonts w:ascii="Arial" w:hAnsi="Arial"/>
          <w:b/>
          <w:sz w:val="34"/>
        </w:rPr>
        <w:t>l’école</w:t>
      </w:r>
      <w:proofErr w:type="gramEnd"/>
    </w:p>
    <w:p w:rsidR="00880839" w:rsidRDefault="00120F6C">
      <w:pPr>
        <w:pStyle w:val="Titre2"/>
        <w:spacing w:before="281" w:line="172" w:lineRule="auto"/>
        <w:ind w:right="2089" w:hanging="1069"/>
      </w:pPr>
      <w:r>
        <w:rPr>
          <w:spacing w:val="15"/>
        </w:rPr>
        <w:t xml:space="preserve">Gestion </w:t>
      </w:r>
      <w:r>
        <w:rPr>
          <w:spacing w:val="11"/>
        </w:rPr>
        <w:t xml:space="preserve">des </w:t>
      </w:r>
      <w:r>
        <w:rPr>
          <w:spacing w:val="13"/>
        </w:rPr>
        <w:t xml:space="preserve">phases </w:t>
      </w:r>
      <w:r>
        <w:rPr>
          <w:spacing w:val="8"/>
        </w:rPr>
        <w:t xml:space="preserve">de </w:t>
      </w:r>
      <w:r>
        <w:rPr>
          <w:spacing w:val="13"/>
        </w:rPr>
        <w:t xml:space="preserve">débat </w:t>
      </w:r>
      <w:r>
        <w:rPr>
          <w:spacing w:val="10"/>
        </w:rPr>
        <w:t xml:space="preserve">par </w:t>
      </w:r>
      <w:proofErr w:type="gramStart"/>
      <w:r>
        <w:rPr>
          <w:spacing w:val="11"/>
        </w:rPr>
        <w:t xml:space="preserve">des  </w:t>
      </w:r>
      <w:r>
        <w:rPr>
          <w:spacing w:val="15"/>
        </w:rPr>
        <w:t>enseignants</w:t>
      </w:r>
      <w:proofErr w:type="gramEnd"/>
      <w:r>
        <w:rPr>
          <w:spacing w:val="98"/>
        </w:rPr>
        <w:t xml:space="preserve"> </w:t>
      </w:r>
      <w:r>
        <w:rPr>
          <w:spacing w:val="15"/>
        </w:rPr>
        <w:t>débutants</w:t>
      </w:r>
    </w:p>
    <w:p w:rsidR="00880839" w:rsidRPr="00191DE7" w:rsidRDefault="00120F6C" w:rsidP="00191DE7">
      <w:pPr>
        <w:spacing w:before="195" w:line="249" w:lineRule="auto"/>
        <w:ind w:left="2837" w:right="2110" w:firstLine="2011"/>
        <w:rPr>
          <w:rFonts w:ascii="Arial" w:hAnsi="Arial"/>
          <w:sz w:val="20"/>
          <w:lang w:val="fr-CH"/>
        </w:rPr>
      </w:pPr>
      <w:r w:rsidRPr="00191DE7">
        <w:rPr>
          <w:rFonts w:ascii="Arial" w:hAnsi="Arial"/>
          <w:sz w:val="20"/>
          <w:lang w:val="fr-CH"/>
        </w:rPr>
        <w:t xml:space="preserve">Corinne </w:t>
      </w:r>
      <w:proofErr w:type="spellStart"/>
      <w:r w:rsidRPr="00191DE7">
        <w:rPr>
          <w:rFonts w:ascii="Arial" w:hAnsi="Arial"/>
          <w:sz w:val="20"/>
          <w:lang w:val="fr-CH"/>
        </w:rPr>
        <w:t>Marlot</w:t>
      </w:r>
      <w:proofErr w:type="spellEnd"/>
      <w:r w:rsidRPr="00191DE7">
        <w:rPr>
          <w:rFonts w:ascii="Arial" w:hAnsi="Arial"/>
          <w:sz w:val="20"/>
          <w:lang w:val="fr-CH"/>
        </w:rPr>
        <w:t xml:space="preserve"> </w:t>
      </w:r>
      <w:r w:rsidR="00191DE7" w:rsidRPr="00191DE7">
        <w:rPr>
          <w:rFonts w:ascii="Arial" w:hAnsi="Arial"/>
          <w:sz w:val="20"/>
          <w:lang w:val="fr-CH"/>
        </w:rPr>
        <w:t>HEP VD, UER MS e</w:t>
      </w:r>
      <w:r w:rsidR="00191DE7">
        <w:rPr>
          <w:rFonts w:ascii="Arial" w:hAnsi="Arial"/>
          <w:sz w:val="20"/>
          <w:lang w:val="fr-CH"/>
        </w:rPr>
        <w:t xml:space="preserve">t laboratoire </w:t>
      </w:r>
      <w:r>
        <w:rPr>
          <w:rFonts w:ascii="Arial" w:hAnsi="Arial"/>
          <w:sz w:val="20"/>
        </w:rPr>
        <w:t>ACTÉ, Université Clermont-Auvergne</w:t>
      </w:r>
    </w:p>
    <w:p w:rsidR="00880839" w:rsidRDefault="00120F6C">
      <w:pPr>
        <w:spacing w:before="110" w:line="249" w:lineRule="auto"/>
        <w:ind w:left="686" w:right="2093" w:firstLine="3735"/>
        <w:rPr>
          <w:rFonts w:ascii="Arial" w:hAnsi="Arial"/>
          <w:sz w:val="20"/>
        </w:rPr>
      </w:pPr>
      <w:r>
        <w:rPr>
          <w:rFonts w:ascii="Arial" w:hAnsi="Arial"/>
          <w:sz w:val="20"/>
        </w:rPr>
        <w:t xml:space="preserve">Jean-Marie </w:t>
      </w:r>
      <w:proofErr w:type="spellStart"/>
      <w:r>
        <w:rPr>
          <w:rFonts w:ascii="Arial" w:hAnsi="Arial"/>
          <w:sz w:val="20"/>
        </w:rPr>
        <w:t>Boilevin</w:t>
      </w:r>
      <w:proofErr w:type="spellEnd"/>
      <w:r>
        <w:rPr>
          <w:rFonts w:ascii="Arial" w:hAnsi="Arial"/>
          <w:sz w:val="20"/>
        </w:rPr>
        <w:t xml:space="preserve"> CREAD, Université de Bretagne Occidentale, </w:t>
      </w:r>
      <w:proofErr w:type="spellStart"/>
      <w:r>
        <w:rPr>
          <w:rFonts w:ascii="Arial" w:hAnsi="Arial"/>
          <w:sz w:val="20"/>
        </w:rPr>
        <w:t>Univ</w:t>
      </w:r>
      <w:proofErr w:type="spellEnd"/>
      <w:r>
        <w:rPr>
          <w:rFonts w:ascii="Arial" w:hAnsi="Arial"/>
          <w:sz w:val="20"/>
        </w:rPr>
        <w:t>. Rennes 2,</w:t>
      </w:r>
    </w:p>
    <w:p w:rsidR="00880839" w:rsidRDefault="00120F6C">
      <w:pPr>
        <w:spacing w:before="2"/>
        <w:ind w:left="3977"/>
        <w:rPr>
          <w:rFonts w:ascii="Arial"/>
          <w:sz w:val="20"/>
        </w:rPr>
      </w:pPr>
      <w:r>
        <w:rPr>
          <w:rFonts w:ascii="Arial"/>
          <w:sz w:val="20"/>
        </w:rPr>
        <w:t>UEB, ESPE de Bretagne</w:t>
      </w:r>
    </w:p>
    <w:p w:rsidR="00880839" w:rsidRDefault="00120F6C">
      <w:pPr>
        <w:spacing w:before="126"/>
        <w:ind w:left="4877"/>
        <w:rPr>
          <w:rFonts w:ascii="Arial" w:hAnsi="Arial"/>
          <w:sz w:val="20"/>
        </w:rPr>
      </w:pPr>
      <w:r>
        <w:rPr>
          <w:rFonts w:ascii="Arial" w:hAnsi="Arial"/>
          <w:sz w:val="20"/>
        </w:rPr>
        <w:t>Noémie Pailler</w:t>
      </w:r>
    </w:p>
    <w:p w:rsidR="00880839" w:rsidRDefault="00120F6C">
      <w:pPr>
        <w:spacing w:before="10"/>
        <w:ind w:left="4265"/>
        <w:rPr>
          <w:rFonts w:ascii="Arial" w:hAnsi="Arial"/>
          <w:sz w:val="20"/>
        </w:rPr>
      </w:pPr>
      <w:r>
        <w:rPr>
          <w:rFonts w:ascii="Arial" w:hAnsi="Arial"/>
          <w:sz w:val="20"/>
        </w:rPr>
        <w:t>Académie de Rennes</w:t>
      </w:r>
    </w:p>
    <w:p w:rsidR="00880839" w:rsidRDefault="00880839">
      <w:pPr>
        <w:rPr>
          <w:rFonts w:ascii="Arial" w:hAnsi="Arial"/>
          <w:sz w:val="20"/>
        </w:rPr>
        <w:sectPr w:rsidR="00880839">
          <w:type w:val="continuous"/>
          <w:pgSz w:w="11910" w:h="16840"/>
          <w:pgMar w:top="1080" w:right="620" w:bottom="280" w:left="1440" w:header="720" w:footer="720" w:gutter="0"/>
          <w:cols w:num="2" w:space="720" w:equalWidth="0">
            <w:col w:w="1446" w:space="113"/>
            <w:col w:w="8291"/>
          </w:cols>
        </w:sectPr>
      </w:pPr>
    </w:p>
    <w:p w:rsidR="00880839" w:rsidRDefault="00120F6C">
      <w:pPr>
        <w:spacing w:before="89" w:line="278" w:lineRule="auto"/>
        <w:ind w:left="686" w:right="1504"/>
        <w:jc w:val="both"/>
        <w:rPr>
          <w:rFonts w:ascii="Arial" w:hAnsi="Arial"/>
          <w:sz w:val="18"/>
        </w:rPr>
      </w:pPr>
      <w:r>
        <w:rPr>
          <w:rFonts w:ascii="Arial" w:hAnsi="Arial"/>
          <w:sz w:val="18"/>
        </w:rPr>
        <w:t>Cette communication aborde la question du rôle de l’enseignant et des supports mobilisés lors de la gestion de débats argumentatifs en classe. L’étude est menée dans le cadre d’un projet collaboratif réunissant 2 chercheurs et 6</w:t>
      </w:r>
      <w:r>
        <w:rPr>
          <w:rFonts w:ascii="Arial" w:hAnsi="Arial"/>
          <w:sz w:val="18"/>
        </w:rPr>
        <w:t xml:space="preserve"> étudiants-stagiaires et s’appuie sur la construction et la mise en œuvre d’une séance de classe à l’école primaire. Elle vise à décrire la construction et la mobilisation du référent empirique et à comprendre la façon dont s’élaborent chez les élèves les </w:t>
      </w:r>
      <w:r>
        <w:rPr>
          <w:rFonts w:ascii="Arial" w:hAnsi="Arial"/>
          <w:sz w:val="18"/>
        </w:rPr>
        <w:t>« effets d’argumentation » sur les</w:t>
      </w:r>
      <w:r>
        <w:rPr>
          <w:rFonts w:ascii="Arial" w:hAnsi="Arial"/>
          <w:spacing w:val="-3"/>
          <w:sz w:val="18"/>
        </w:rPr>
        <w:t xml:space="preserve"> </w:t>
      </w:r>
      <w:r>
        <w:rPr>
          <w:rFonts w:ascii="Arial" w:hAnsi="Arial"/>
          <w:sz w:val="18"/>
        </w:rPr>
        <w:t>possibles.</w:t>
      </w:r>
    </w:p>
    <w:p w:rsidR="00880839" w:rsidRDefault="00880839">
      <w:pPr>
        <w:pStyle w:val="Corpsdetexte"/>
        <w:rPr>
          <w:rFonts w:ascii="Arial"/>
          <w:sz w:val="20"/>
        </w:rPr>
      </w:pPr>
    </w:p>
    <w:p w:rsidR="00880839" w:rsidRDefault="00120F6C">
      <w:pPr>
        <w:spacing w:before="132"/>
        <w:ind w:left="686"/>
        <w:rPr>
          <w:rFonts w:ascii="Arial" w:hAnsi="Arial"/>
          <w:b/>
          <w:sz w:val="20"/>
        </w:rPr>
      </w:pPr>
      <w:r>
        <w:rPr>
          <w:rFonts w:ascii="Arial" w:hAnsi="Arial"/>
          <w:b/>
          <w:sz w:val="20"/>
        </w:rPr>
        <w:t>Mots-clés</w:t>
      </w:r>
    </w:p>
    <w:p w:rsidR="00880839" w:rsidRDefault="00120F6C">
      <w:pPr>
        <w:spacing w:before="89"/>
        <w:ind w:left="686"/>
        <w:rPr>
          <w:rFonts w:ascii="Arial" w:hAnsi="Arial"/>
          <w:sz w:val="18"/>
        </w:rPr>
      </w:pPr>
      <w:r>
        <w:rPr>
          <w:rFonts w:ascii="Arial" w:hAnsi="Arial"/>
          <w:sz w:val="18"/>
        </w:rPr>
        <w:t>Référent empirique, argumentation, débat scientifique, enseignant débutant</w:t>
      </w:r>
    </w:p>
    <w:p w:rsidR="00880839" w:rsidRDefault="00880839">
      <w:pPr>
        <w:pStyle w:val="Corpsdetexte"/>
        <w:rPr>
          <w:rFonts w:ascii="Arial"/>
          <w:sz w:val="20"/>
        </w:rPr>
      </w:pPr>
    </w:p>
    <w:p w:rsidR="00880839" w:rsidRDefault="00880839">
      <w:pPr>
        <w:pStyle w:val="Corpsdetexte"/>
        <w:rPr>
          <w:rFonts w:ascii="Arial"/>
          <w:sz w:val="20"/>
        </w:rPr>
      </w:pPr>
    </w:p>
    <w:p w:rsidR="00880839" w:rsidRDefault="00880839">
      <w:pPr>
        <w:pStyle w:val="Corpsdetexte"/>
        <w:rPr>
          <w:rFonts w:ascii="Arial"/>
          <w:sz w:val="20"/>
        </w:rPr>
      </w:pPr>
    </w:p>
    <w:p w:rsidR="00880839" w:rsidRDefault="00880839">
      <w:pPr>
        <w:pStyle w:val="Corpsdetexte"/>
        <w:spacing w:before="9"/>
        <w:rPr>
          <w:rFonts w:ascii="Arial"/>
          <w:sz w:val="28"/>
        </w:rPr>
      </w:pPr>
    </w:p>
    <w:p w:rsidR="00880839" w:rsidRPr="00191DE7" w:rsidRDefault="00120F6C">
      <w:pPr>
        <w:spacing w:line="172" w:lineRule="auto"/>
        <w:ind w:left="3036" w:right="1482" w:hanging="277"/>
        <w:rPr>
          <w:rFonts w:ascii="Arial-BoldItalicMT"/>
          <w:b/>
          <w:i/>
          <w:sz w:val="29"/>
          <w:lang w:val="en-US"/>
        </w:rPr>
      </w:pPr>
      <w:r w:rsidRPr="00191DE7">
        <w:rPr>
          <w:rFonts w:ascii="Arial-BoldItalicMT"/>
          <w:b/>
          <w:i/>
          <w:sz w:val="29"/>
          <w:lang w:val="en-US"/>
        </w:rPr>
        <w:t xml:space="preserve">Role of the empirical referent in the scientific debate </w:t>
      </w:r>
      <w:proofErr w:type="gramStart"/>
      <w:r w:rsidRPr="00191DE7">
        <w:rPr>
          <w:rFonts w:ascii="Arial-BoldItalicMT"/>
          <w:b/>
          <w:i/>
          <w:sz w:val="29"/>
          <w:lang w:val="en-US"/>
        </w:rPr>
        <w:t>at  school</w:t>
      </w:r>
      <w:proofErr w:type="gramEnd"/>
    </w:p>
    <w:p w:rsidR="00880839" w:rsidRPr="00191DE7" w:rsidRDefault="00120F6C">
      <w:pPr>
        <w:pStyle w:val="Titre2"/>
        <w:spacing w:before="229"/>
        <w:ind w:left="2607"/>
        <w:rPr>
          <w:lang w:val="en-US"/>
        </w:rPr>
      </w:pPr>
      <w:proofErr w:type="gramStart"/>
      <w:r w:rsidRPr="00191DE7">
        <w:rPr>
          <w:lang w:val="en-US"/>
        </w:rPr>
        <w:t>Management  of</w:t>
      </w:r>
      <w:proofErr w:type="gramEnd"/>
      <w:r w:rsidRPr="00191DE7">
        <w:rPr>
          <w:lang w:val="en-US"/>
        </w:rPr>
        <w:t xml:space="preserve">  debate  phases by</w:t>
      </w:r>
    </w:p>
    <w:p w:rsidR="00880839" w:rsidRPr="00191DE7" w:rsidRDefault="00120F6C">
      <w:pPr>
        <w:spacing w:line="287" w:lineRule="exact"/>
        <w:ind w:left="5396"/>
        <w:rPr>
          <w:rFonts w:ascii="Arial"/>
          <w:i/>
          <w:sz w:val="29"/>
          <w:lang w:val="en-US"/>
        </w:rPr>
      </w:pPr>
      <w:proofErr w:type="gramStart"/>
      <w:r w:rsidRPr="00191DE7">
        <w:rPr>
          <w:rFonts w:ascii="Arial"/>
          <w:i/>
          <w:sz w:val="29"/>
          <w:lang w:val="en-US"/>
        </w:rPr>
        <w:t>novice  teachers</w:t>
      </w:r>
      <w:proofErr w:type="gramEnd"/>
    </w:p>
    <w:p w:rsidR="00880839" w:rsidRPr="00191DE7" w:rsidRDefault="00880839">
      <w:pPr>
        <w:pStyle w:val="Corpsdetexte"/>
        <w:spacing w:before="6"/>
        <w:rPr>
          <w:rFonts w:ascii="Arial"/>
          <w:i/>
          <w:sz w:val="50"/>
          <w:lang w:val="en-US"/>
        </w:rPr>
      </w:pPr>
    </w:p>
    <w:p w:rsidR="00880839" w:rsidRPr="00191DE7" w:rsidRDefault="00120F6C">
      <w:pPr>
        <w:spacing w:before="1"/>
        <w:ind w:left="686"/>
        <w:rPr>
          <w:rFonts w:ascii="Arial-BoldItalicMT"/>
          <w:b/>
          <w:i/>
          <w:sz w:val="21"/>
          <w:lang w:val="en-US"/>
        </w:rPr>
      </w:pPr>
      <w:r w:rsidRPr="00191DE7">
        <w:rPr>
          <w:rFonts w:ascii="Arial-BoldItalicMT"/>
          <w:b/>
          <w:i/>
          <w:sz w:val="21"/>
          <w:lang w:val="en-US"/>
        </w:rPr>
        <w:t>Abstract</w:t>
      </w:r>
    </w:p>
    <w:p w:rsidR="00880839" w:rsidRPr="00191DE7" w:rsidRDefault="00120F6C">
      <w:pPr>
        <w:spacing w:before="86" w:line="278" w:lineRule="auto"/>
        <w:ind w:left="686" w:right="1503"/>
        <w:jc w:val="both"/>
        <w:rPr>
          <w:rFonts w:ascii="Arial"/>
          <w:sz w:val="18"/>
          <w:lang w:val="en-US"/>
        </w:rPr>
      </w:pPr>
      <w:r w:rsidRPr="00191DE7">
        <w:rPr>
          <w:rFonts w:ascii="Arial"/>
          <w:sz w:val="18"/>
          <w:lang w:val="en-US"/>
        </w:rPr>
        <w:t>This paper addresses the role of the teacher and the materials mobilized during the management of argumentative debates in class</w:t>
      </w:r>
      <w:r w:rsidRPr="00191DE7">
        <w:rPr>
          <w:rFonts w:ascii="Arial"/>
          <w:sz w:val="18"/>
          <w:lang w:val="en-US"/>
        </w:rPr>
        <w:t>. The study is conducted as part of a collaborative project involving 2 researchers and 6 student-trainees and builds on the construction and implementation of a classroom session in primary school. It aims to describe</w:t>
      </w:r>
    </w:p>
    <w:p w:rsidR="00880839" w:rsidRPr="00191DE7" w:rsidRDefault="00880839">
      <w:pPr>
        <w:spacing w:line="278" w:lineRule="auto"/>
        <w:jc w:val="both"/>
        <w:rPr>
          <w:rFonts w:ascii="Arial"/>
          <w:sz w:val="18"/>
          <w:lang w:val="en-US"/>
        </w:rPr>
        <w:sectPr w:rsidR="00880839" w:rsidRPr="00191DE7">
          <w:type w:val="continuous"/>
          <w:pgSz w:w="11910" w:h="16840"/>
          <w:pgMar w:top="1080" w:right="620" w:bottom="280" w:left="1440" w:header="720" w:footer="720" w:gutter="0"/>
          <w:cols w:space="720"/>
        </w:sectPr>
      </w:pPr>
    </w:p>
    <w:p w:rsidR="00880839" w:rsidRPr="00191DE7" w:rsidRDefault="00880839">
      <w:pPr>
        <w:pStyle w:val="Corpsdetexte"/>
        <w:rPr>
          <w:rFonts w:ascii="Arial"/>
          <w:sz w:val="20"/>
          <w:lang w:val="en-US"/>
        </w:rPr>
      </w:pPr>
    </w:p>
    <w:p w:rsidR="00880839" w:rsidRPr="00191DE7" w:rsidRDefault="00880839">
      <w:pPr>
        <w:pStyle w:val="Corpsdetexte"/>
        <w:rPr>
          <w:rFonts w:ascii="Arial"/>
          <w:sz w:val="20"/>
          <w:lang w:val="en-US"/>
        </w:rPr>
      </w:pPr>
    </w:p>
    <w:p w:rsidR="00880839" w:rsidRPr="00191DE7" w:rsidRDefault="00880839">
      <w:pPr>
        <w:pStyle w:val="Corpsdetexte"/>
        <w:rPr>
          <w:rFonts w:ascii="Arial"/>
          <w:sz w:val="20"/>
          <w:lang w:val="en-US"/>
        </w:rPr>
      </w:pPr>
    </w:p>
    <w:p w:rsidR="00880839" w:rsidRPr="00191DE7" w:rsidRDefault="00880839">
      <w:pPr>
        <w:pStyle w:val="Corpsdetexte"/>
        <w:rPr>
          <w:rFonts w:ascii="Arial"/>
          <w:sz w:val="20"/>
          <w:lang w:val="en-US"/>
        </w:rPr>
      </w:pPr>
    </w:p>
    <w:p w:rsidR="00880839" w:rsidRPr="00191DE7" w:rsidRDefault="00880839">
      <w:pPr>
        <w:pStyle w:val="Corpsdetexte"/>
        <w:rPr>
          <w:rFonts w:ascii="Arial"/>
          <w:sz w:val="20"/>
          <w:lang w:val="en-US"/>
        </w:rPr>
      </w:pPr>
    </w:p>
    <w:p w:rsidR="00880839" w:rsidRPr="00191DE7" w:rsidRDefault="00880839">
      <w:pPr>
        <w:pStyle w:val="Corpsdetexte"/>
        <w:spacing w:before="2"/>
        <w:rPr>
          <w:rFonts w:ascii="Arial"/>
          <w:sz w:val="26"/>
          <w:lang w:val="en-US"/>
        </w:rPr>
      </w:pPr>
    </w:p>
    <w:p w:rsidR="00880839" w:rsidRPr="00191DE7" w:rsidRDefault="00120F6C">
      <w:pPr>
        <w:spacing w:before="94" w:line="278" w:lineRule="auto"/>
        <w:ind w:left="684" w:right="1482"/>
        <w:rPr>
          <w:rFonts w:ascii="Arial"/>
          <w:sz w:val="18"/>
          <w:lang w:val="en-US"/>
        </w:rPr>
      </w:pPr>
      <w:r w:rsidRPr="00191DE7">
        <w:rPr>
          <w:rFonts w:ascii="Arial"/>
          <w:sz w:val="18"/>
          <w:lang w:val="en-US"/>
        </w:rPr>
        <w:t>the constructio</w:t>
      </w:r>
      <w:r w:rsidRPr="00191DE7">
        <w:rPr>
          <w:rFonts w:ascii="Arial"/>
          <w:sz w:val="18"/>
          <w:lang w:val="en-US"/>
        </w:rPr>
        <w:t>n and mobilization of the empirical referent and to understand the way students develop the "argumentation effects" on the possible.</w:t>
      </w:r>
    </w:p>
    <w:p w:rsidR="00880839" w:rsidRPr="00191DE7" w:rsidRDefault="00120F6C">
      <w:pPr>
        <w:spacing w:before="92"/>
        <w:ind w:left="684"/>
        <w:rPr>
          <w:rFonts w:ascii="Arial-BoldItalicMT"/>
          <w:b/>
          <w:i/>
          <w:sz w:val="21"/>
          <w:lang w:val="en-US"/>
        </w:rPr>
      </w:pPr>
      <w:r w:rsidRPr="00191DE7">
        <w:rPr>
          <w:rFonts w:ascii="Arial-BoldItalicMT"/>
          <w:b/>
          <w:i/>
          <w:sz w:val="21"/>
          <w:lang w:val="en-US"/>
        </w:rPr>
        <w:t>Key-words</w:t>
      </w:r>
    </w:p>
    <w:p w:rsidR="00880839" w:rsidRPr="00191DE7" w:rsidRDefault="00120F6C">
      <w:pPr>
        <w:spacing w:before="86"/>
        <w:ind w:left="684"/>
        <w:rPr>
          <w:rFonts w:ascii="Arial"/>
          <w:i/>
          <w:sz w:val="18"/>
          <w:lang w:val="en-US"/>
        </w:rPr>
      </w:pPr>
      <w:r w:rsidRPr="00191DE7">
        <w:rPr>
          <w:rFonts w:ascii="Arial"/>
          <w:i/>
          <w:sz w:val="18"/>
          <w:lang w:val="en-US"/>
        </w:rPr>
        <w:t>Empirical referent, argumentation, scientific debate, beginner teacher</w:t>
      </w:r>
    </w:p>
    <w:p w:rsidR="00880839" w:rsidRPr="00191DE7" w:rsidRDefault="00880839">
      <w:pPr>
        <w:pStyle w:val="Corpsdetexte"/>
        <w:rPr>
          <w:rFonts w:ascii="Arial"/>
          <w:i/>
          <w:sz w:val="20"/>
          <w:lang w:val="en-US"/>
        </w:rPr>
      </w:pPr>
    </w:p>
    <w:p w:rsidR="00880839" w:rsidRPr="00191DE7" w:rsidRDefault="00880839">
      <w:pPr>
        <w:pStyle w:val="Corpsdetexte"/>
        <w:spacing w:before="5"/>
        <w:rPr>
          <w:rFonts w:ascii="Arial"/>
          <w:i/>
          <w:sz w:val="16"/>
          <w:lang w:val="en-US"/>
        </w:rPr>
      </w:pPr>
    </w:p>
    <w:p w:rsidR="00880839" w:rsidRDefault="00120F6C">
      <w:pPr>
        <w:pStyle w:val="Titre4"/>
        <w:spacing w:before="1"/>
      </w:pPr>
      <w:r>
        <w:rPr>
          <w:sz w:val="28"/>
        </w:rPr>
        <w:t>I</w:t>
      </w:r>
      <w:r>
        <w:t>NTRODUCTION</w:t>
      </w:r>
    </w:p>
    <w:p w:rsidR="00880839" w:rsidRDefault="00120F6C">
      <w:pPr>
        <w:pStyle w:val="Corpsdetexte"/>
        <w:spacing w:before="191" w:line="247" w:lineRule="auto"/>
        <w:ind w:left="684" w:right="1501" w:firstLine="228"/>
        <w:jc w:val="both"/>
      </w:pPr>
      <w:r>
        <w:rPr>
          <w:color w:val="1F1F1F"/>
        </w:rPr>
        <w:t xml:space="preserve">Cette recherche s’inscrit dans le cadre d'un projet collaboratif réunissant des cher- </w:t>
      </w:r>
      <w:proofErr w:type="spellStart"/>
      <w:r>
        <w:rPr>
          <w:color w:val="1F1F1F"/>
        </w:rPr>
        <w:t>cheurs</w:t>
      </w:r>
      <w:proofErr w:type="spellEnd"/>
      <w:r>
        <w:rPr>
          <w:color w:val="1F1F1F"/>
        </w:rPr>
        <w:t xml:space="preserve"> en didactique des sciences et des étudiants français et suisses, se destinant au métier d'enseignant dans le premier degré ou dans le second degré. La collaboratio</w:t>
      </w:r>
      <w:r>
        <w:rPr>
          <w:color w:val="1F1F1F"/>
        </w:rPr>
        <w:t xml:space="preserve">n a abouti à la conception et l’implémentation de deux séances en classe, menées chacune par un des étudiants sur son lieu de stage, une fois en France et une autre en Suisse. L’étude présentée ici se centre sur la question de la mise en œuvre du débat </w:t>
      </w:r>
      <w:proofErr w:type="spellStart"/>
      <w:r>
        <w:rPr>
          <w:color w:val="1F1F1F"/>
        </w:rPr>
        <w:t>arg</w:t>
      </w:r>
      <w:r>
        <w:rPr>
          <w:color w:val="1F1F1F"/>
        </w:rPr>
        <w:t>umen</w:t>
      </w:r>
      <w:proofErr w:type="spellEnd"/>
      <w:r>
        <w:rPr>
          <w:color w:val="1F1F1F"/>
        </w:rPr>
        <w:t xml:space="preserve">- </w:t>
      </w:r>
      <w:proofErr w:type="spellStart"/>
      <w:r>
        <w:rPr>
          <w:color w:val="1F1F1F"/>
        </w:rPr>
        <w:t>tatif</w:t>
      </w:r>
      <w:proofErr w:type="spellEnd"/>
      <w:r>
        <w:rPr>
          <w:color w:val="1F1F1F"/>
        </w:rPr>
        <w:t>.</w:t>
      </w:r>
    </w:p>
    <w:p w:rsidR="00880839" w:rsidRDefault="00120F6C">
      <w:pPr>
        <w:pStyle w:val="Corpsdetexte"/>
        <w:spacing w:before="56" w:line="247" w:lineRule="auto"/>
        <w:ind w:left="684" w:right="1500" w:firstLine="228"/>
        <w:jc w:val="both"/>
      </w:pPr>
      <w:r>
        <w:t xml:space="preserve">Depuis de nombreuses années, les programmes scolaires préconisent un enseigne- ment </w:t>
      </w:r>
      <w:proofErr w:type="gramStart"/>
      <w:r>
        <w:t>des sciences fondé</w:t>
      </w:r>
      <w:proofErr w:type="gramEnd"/>
      <w:r>
        <w:t xml:space="preserve"> sur l’investigation, notamment en France et en Suisse </w:t>
      </w:r>
      <w:proofErr w:type="spellStart"/>
      <w:r>
        <w:t>ro</w:t>
      </w:r>
      <w:proofErr w:type="spellEnd"/>
      <w:r>
        <w:t>- mande. Le but de cette démarche est, entre autres, de mettre l'élève en position d</w:t>
      </w:r>
      <w:r>
        <w:t xml:space="preserve">e recherche, comme le ferait un scientifique, afin de le conduire à construire de </w:t>
      </w:r>
      <w:proofErr w:type="spellStart"/>
      <w:r>
        <w:t>nou</w:t>
      </w:r>
      <w:proofErr w:type="spellEnd"/>
      <w:r>
        <w:t xml:space="preserve">- </w:t>
      </w:r>
      <w:proofErr w:type="spellStart"/>
      <w:r>
        <w:t>velles</w:t>
      </w:r>
      <w:proofErr w:type="spellEnd"/>
      <w:r>
        <w:t xml:space="preserve"> connaissances pour mieux comprendre et expliquer le monde qui l'entoure.  </w:t>
      </w:r>
      <w:r>
        <w:rPr>
          <w:color w:val="1F1F1F"/>
        </w:rPr>
        <w:t>Dans ce cadre, l</w:t>
      </w:r>
      <w:r>
        <w:t>e débat scientifique occupe donc une place essentielle. L’observation de</w:t>
      </w:r>
      <w:r>
        <w:t xml:space="preserve"> situations ordinaires de classe montre que la mise en œuvre d’une démarche d’investigation ne va pas de soi (</w:t>
      </w:r>
      <w:proofErr w:type="spellStart"/>
      <w:r>
        <w:t>Marlot</w:t>
      </w:r>
      <w:proofErr w:type="spellEnd"/>
      <w:r>
        <w:t xml:space="preserve"> &amp; Morge, 2016) : enseignants et élèves se </w:t>
      </w:r>
      <w:proofErr w:type="spellStart"/>
      <w:r>
        <w:t>re</w:t>
      </w:r>
      <w:proofErr w:type="spellEnd"/>
      <w:r>
        <w:t>- trouvent face à de nombreuses difficultés tant d’ordre épistémiques, qu’épistémologiques ou e</w:t>
      </w:r>
      <w:r>
        <w:t>ncore méthodologiques (Monod-</w:t>
      </w:r>
      <w:proofErr w:type="spellStart"/>
      <w:r>
        <w:t>Ansaldi</w:t>
      </w:r>
      <w:proofErr w:type="spellEnd"/>
      <w:r>
        <w:t xml:space="preserve"> &amp; Prieur, 2011). La mise en place du débat, son anticipation et sa régulation représentent sans aucun doute une de ces difficultés récurrentes. C’est pourquoi la question du rôle de l’enseignant et des supports mobilisé</w:t>
      </w:r>
      <w:r>
        <w:t>s lors de la gestion de débats argumentatifs a été identifiée, dans le cadre de ce projet, comme une préoccupation commune à la fois aux 2 chercheurs et aux 6</w:t>
      </w:r>
      <w:r>
        <w:rPr>
          <w:spacing w:val="-1"/>
        </w:rPr>
        <w:t xml:space="preserve"> </w:t>
      </w:r>
      <w:r>
        <w:t>étudiants-stagiaires.</w:t>
      </w:r>
    </w:p>
    <w:p w:rsidR="00880839" w:rsidRDefault="00880839">
      <w:pPr>
        <w:pStyle w:val="Corpsdetexte"/>
        <w:spacing w:before="6"/>
        <w:rPr>
          <w:sz w:val="34"/>
        </w:rPr>
      </w:pPr>
    </w:p>
    <w:p w:rsidR="00880839" w:rsidRDefault="00120F6C">
      <w:pPr>
        <w:pStyle w:val="Titre4"/>
        <w:spacing w:before="1"/>
      </w:pPr>
      <w:r>
        <w:rPr>
          <w:sz w:val="28"/>
        </w:rPr>
        <w:t>C</w:t>
      </w:r>
      <w:r>
        <w:t>ADRE THEORIQUE ET PROBLEMATIQUE</w:t>
      </w:r>
    </w:p>
    <w:p w:rsidR="00880839" w:rsidRDefault="00120F6C">
      <w:pPr>
        <w:pStyle w:val="Corpsdetexte"/>
        <w:spacing w:before="193" w:line="247" w:lineRule="auto"/>
        <w:ind w:left="684" w:right="1500" w:firstLine="228"/>
        <w:jc w:val="both"/>
      </w:pPr>
      <w:r>
        <w:t>Le groupe collaboratif a choisi de porter</w:t>
      </w:r>
      <w:r>
        <w:t xml:space="preserve"> son attention sur les propositions </w:t>
      </w:r>
      <w:proofErr w:type="spellStart"/>
      <w:r>
        <w:t>argumen</w:t>
      </w:r>
      <w:proofErr w:type="spellEnd"/>
      <w:r>
        <w:t xml:space="preserve">- </w:t>
      </w:r>
      <w:proofErr w:type="spellStart"/>
      <w:r>
        <w:t>tées</w:t>
      </w:r>
      <w:proofErr w:type="spellEnd"/>
      <w:r>
        <w:t xml:space="preserve"> des élèves, dans le cadre de différents moments de débat collectifs, afin d’identifier certaines des conditions nécessaires à leur argumentation. Afin d’outiller notre regard et soutenir nos analyses, nous </w:t>
      </w:r>
      <w:r>
        <w:t xml:space="preserve">avons sélectionné certains concepts et no- </w:t>
      </w:r>
      <w:proofErr w:type="spellStart"/>
      <w:r>
        <w:t>tions</w:t>
      </w:r>
      <w:proofErr w:type="spellEnd"/>
      <w:r>
        <w:t xml:space="preserve"> issus de différents courants de la didactique.</w:t>
      </w:r>
    </w:p>
    <w:p w:rsidR="00880839" w:rsidRDefault="00880839">
      <w:pPr>
        <w:spacing w:line="247" w:lineRule="auto"/>
        <w:jc w:val="both"/>
        <w:sectPr w:rsidR="00880839">
          <w:footerReference w:type="even" r:id="rId6"/>
          <w:footerReference w:type="default" r:id="rId7"/>
          <w:pgSz w:w="11910" w:h="16840"/>
          <w:pgMar w:top="1580" w:right="620" w:bottom="3040" w:left="1440" w:header="0" w:footer="2843" w:gutter="0"/>
          <w:pgNumType w:start="2"/>
          <w:cols w:space="720"/>
        </w:sectPr>
      </w:pPr>
    </w:p>
    <w:p w:rsidR="00880839" w:rsidRDefault="00880839">
      <w:pPr>
        <w:pStyle w:val="Corpsdetexte"/>
        <w:rPr>
          <w:sz w:val="20"/>
        </w:rPr>
      </w:pPr>
    </w:p>
    <w:p w:rsidR="00880839" w:rsidRDefault="00880839">
      <w:pPr>
        <w:pStyle w:val="Corpsdetexte"/>
        <w:rPr>
          <w:sz w:val="20"/>
        </w:rPr>
      </w:pPr>
    </w:p>
    <w:p w:rsidR="00880839" w:rsidRDefault="00880839">
      <w:pPr>
        <w:pStyle w:val="Corpsdetexte"/>
        <w:rPr>
          <w:sz w:val="20"/>
        </w:rPr>
      </w:pPr>
    </w:p>
    <w:p w:rsidR="00880839" w:rsidRDefault="00880839">
      <w:pPr>
        <w:pStyle w:val="Corpsdetexte"/>
        <w:rPr>
          <w:sz w:val="20"/>
        </w:rPr>
      </w:pPr>
    </w:p>
    <w:p w:rsidR="00880839" w:rsidRDefault="00880839">
      <w:pPr>
        <w:pStyle w:val="Corpsdetexte"/>
        <w:rPr>
          <w:sz w:val="20"/>
        </w:rPr>
      </w:pPr>
    </w:p>
    <w:p w:rsidR="00880839" w:rsidRDefault="00880839">
      <w:pPr>
        <w:pStyle w:val="Corpsdetexte"/>
        <w:spacing w:before="8"/>
        <w:rPr>
          <w:sz w:val="24"/>
        </w:rPr>
      </w:pPr>
    </w:p>
    <w:p w:rsidR="00880839" w:rsidRDefault="00120F6C">
      <w:pPr>
        <w:pStyle w:val="Corpsdetexte"/>
        <w:spacing w:before="91" w:line="244" w:lineRule="auto"/>
        <w:ind w:left="686" w:right="1498" w:firstLine="228"/>
        <w:jc w:val="both"/>
      </w:pPr>
      <w:r>
        <w:t xml:space="preserve">Les savoirs scientifiques sont des savoirs raisonnés (Bachelard, 1938). À ce titre, et à la suite d’Orange (2003) nous considèrerons le débat scientifique comme une </w:t>
      </w:r>
      <w:proofErr w:type="spellStart"/>
      <w:r>
        <w:t>explo</w:t>
      </w:r>
      <w:proofErr w:type="spellEnd"/>
      <w:r>
        <w:t>- ration et une structuration du champ des possibles.</w:t>
      </w:r>
    </w:p>
    <w:p w:rsidR="00880839" w:rsidRDefault="00120F6C">
      <w:pPr>
        <w:pStyle w:val="Corpsdetexte"/>
        <w:spacing w:before="66" w:line="247" w:lineRule="auto"/>
        <w:ind w:left="686" w:right="1497" w:firstLine="228"/>
        <w:jc w:val="both"/>
      </w:pPr>
      <w:r>
        <w:t xml:space="preserve">A l’instar de </w:t>
      </w:r>
      <w:proofErr w:type="spellStart"/>
      <w:r>
        <w:t>Bisault</w:t>
      </w:r>
      <w:proofErr w:type="spellEnd"/>
      <w:r>
        <w:t xml:space="preserve"> et Fontain</w:t>
      </w:r>
      <w:r>
        <w:t xml:space="preserve">e (2004) nous pensons que les apprentissages </w:t>
      </w:r>
      <w:proofErr w:type="spellStart"/>
      <w:r>
        <w:t>scienti</w:t>
      </w:r>
      <w:proofErr w:type="spellEnd"/>
      <w:r>
        <w:t xml:space="preserve">- </w:t>
      </w:r>
      <w:proofErr w:type="spellStart"/>
      <w:r>
        <w:t>fiques</w:t>
      </w:r>
      <w:proofErr w:type="spellEnd"/>
      <w:r>
        <w:t xml:space="preserve"> résultent de l’articulation d’activités langagières relevant « d’effets d’argumentation » (</w:t>
      </w:r>
      <w:proofErr w:type="spellStart"/>
      <w:r>
        <w:t>ibid</w:t>
      </w:r>
      <w:proofErr w:type="spellEnd"/>
      <w:r>
        <w:t xml:space="preserve">) avec des activités expérimentales. Pour autant, cette </w:t>
      </w:r>
      <w:proofErr w:type="spellStart"/>
      <w:r>
        <w:t>argu</w:t>
      </w:r>
      <w:proofErr w:type="spellEnd"/>
      <w:r>
        <w:t xml:space="preserve">- </w:t>
      </w:r>
      <w:proofErr w:type="spellStart"/>
      <w:r>
        <w:t>mentation</w:t>
      </w:r>
      <w:proofErr w:type="spellEnd"/>
      <w:r>
        <w:t xml:space="preserve"> sur les possibles doit pouvo</w:t>
      </w:r>
      <w:r>
        <w:t xml:space="preserve">ir s’appuyer sur des éléments de connaissance préalables que nous attribuons à la mobilisation en situation, par les élèves, d’un </w:t>
      </w:r>
      <w:proofErr w:type="spellStart"/>
      <w:r>
        <w:t>réfé</w:t>
      </w:r>
      <w:proofErr w:type="spellEnd"/>
      <w:r>
        <w:t xml:space="preserve">- </w:t>
      </w:r>
      <w:proofErr w:type="spellStart"/>
      <w:r>
        <w:t>rent</w:t>
      </w:r>
      <w:proofErr w:type="spellEnd"/>
      <w:r>
        <w:t xml:space="preserve"> empirique adéquat (</w:t>
      </w:r>
      <w:proofErr w:type="spellStart"/>
      <w:r>
        <w:t>Coquidé</w:t>
      </w:r>
      <w:proofErr w:type="spellEnd"/>
      <w:r>
        <w:t>, 1998). Le questionnement proposé par l'enseignant ou induit par l'observation d'un phén</w:t>
      </w:r>
      <w:r>
        <w:t>omène de l'environnement contribue à construire le référent empirique en association avec le vécu et les connaissances des élèves.</w:t>
      </w:r>
    </w:p>
    <w:p w:rsidR="00880839" w:rsidRDefault="00120F6C">
      <w:pPr>
        <w:pStyle w:val="Corpsdetexte"/>
        <w:spacing w:before="55" w:line="247" w:lineRule="auto"/>
        <w:ind w:left="686" w:right="1498" w:firstLine="228"/>
        <w:jc w:val="both"/>
      </w:pPr>
      <w:r>
        <w:t>Notre hypothèse est que la construction et la mobilisation de ce référent empirique représentent les conditions nécessaires à</w:t>
      </w:r>
      <w:r>
        <w:t xml:space="preserve"> toute argumentation sur les possibles. </w:t>
      </w:r>
      <w:proofErr w:type="spellStart"/>
      <w:r>
        <w:t>Etudier</w:t>
      </w:r>
      <w:proofErr w:type="spellEnd"/>
      <w:r>
        <w:t xml:space="preserve"> ces conditions </w:t>
      </w:r>
      <w:proofErr w:type="gramStart"/>
      <w:r>
        <w:t>revient</w:t>
      </w:r>
      <w:proofErr w:type="gramEnd"/>
      <w:r>
        <w:t xml:space="preserve"> pour nous à étudier la manière dont l’enseignant engage le pro- </w:t>
      </w:r>
      <w:proofErr w:type="spellStart"/>
      <w:r>
        <w:t>cessus</w:t>
      </w:r>
      <w:proofErr w:type="spellEnd"/>
      <w:r>
        <w:t xml:space="preserve"> de double sémiotisation (</w:t>
      </w:r>
      <w:proofErr w:type="spellStart"/>
      <w:r>
        <w:t>Schneuwly</w:t>
      </w:r>
      <w:proofErr w:type="spellEnd"/>
      <w:r>
        <w:t>, 2000), c’est à dire comment d’une part, il rend présent l’objet d’apprentissag</w:t>
      </w:r>
      <w:r>
        <w:t xml:space="preserve">e sous une forme matérialisée et comment d’autre part, il le « montre » en guidant l’attention des élèves sur les dimensions essentielles de l’objet. Le cadre de la théorie de l’action conjointe en didactique (Sensevy, 2011) </w:t>
      </w:r>
      <w:proofErr w:type="spellStart"/>
      <w:r>
        <w:t>redécrit</w:t>
      </w:r>
      <w:proofErr w:type="spellEnd"/>
      <w:r>
        <w:t xml:space="preserve"> ce processus au traver</w:t>
      </w:r>
      <w:r>
        <w:t>s de la relation dialectique</w:t>
      </w:r>
      <w:r>
        <w:rPr>
          <w:spacing w:val="-8"/>
        </w:rPr>
        <w:t xml:space="preserve"> </w:t>
      </w:r>
      <w:r>
        <w:t>contrat-milieu.</w:t>
      </w:r>
    </w:p>
    <w:p w:rsidR="00880839" w:rsidRDefault="00120F6C">
      <w:pPr>
        <w:pStyle w:val="Corpsdetexte"/>
        <w:spacing w:before="56" w:line="247" w:lineRule="auto"/>
        <w:ind w:left="686" w:right="1498" w:firstLine="228"/>
        <w:jc w:val="both"/>
      </w:pPr>
      <w:r>
        <w:t>A ce titre, deux catégories de description nous semblent être de bons candidats à la mise au jour des « effets d’argumentation » produits par les élèves et orientés par le changement de statut des objets du mili</w:t>
      </w:r>
      <w:r>
        <w:t>eu (</w:t>
      </w:r>
      <w:proofErr w:type="spellStart"/>
      <w:r>
        <w:t>Bisault</w:t>
      </w:r>
      <w:proofErr w:type="spellEnd"/>
      <w:r>
        <w:t>, 2010) : le registre de référence mobilisé – registre empirique ou registre des modèles (</w:t>
      </w:r>
      <w:proofErr w:type="spellStart"/>
      <w:r>
        <w:t>Martinand</w:t>
      </w:r>
      <w:proofErr w:type="spellEnd"/>
      <w:r>
        <w:t xml:space="preserve">, 1992 ) et la </w:t>
      </w:r>
      <w:proofErr w:type="spellStart"/>
      <w:r>
        <w:t>topogé</w:t>
      </w:r>
      <w:proofErr w:type="spellEnd"/>
      <w:r>
        <w:t xml:space="preserve">- </w:t>
      </w:r>
      <w:proofErr w:type="spellStart"/>
      <w:r>
        <w:t>nèse</w:t>
      </w:r>
      <w:proofErr w:type="spellEnd"/>
      <w:r>
        <w:t xml:space="preserve"> (</w:t>
      </w:r>
      <w:proofErr w:type="spellStart"/>
      <w:r>
        <w:t>Schubauer</w:t>
      </w:r>
      <w:proofErr w:type="spellEnd"/>
      <w:r>
        <w:t>-Leoni et al., 2007) qui rend compte de la manière dont se partagent les responsabilités vis à vis de la con</w:t>
      </w:r>
      <w:r>
        <w:t>struction du savoir entre le professeur et les élèves.</w:t>
      </w:r>
    </w:p>
    <w:p w:rsidR="00880839" w:rsidRDefault="00120F6C">
      <w:pPr>
        <w:pStyle w:val="Corpsdetexte"/>
        <w:spacing w:before="55" w:line="247" w:lineRule="auto"/>
        <w:ind w:left="686" w:right="1497" w:firstLine="228"/>
        <w:jc w:val="both"/>
      </w:pPr>
      <w:r>
        <w:t xml:space="preserve">Ce cadrage théorique nous amène à formuler ainsi notre question de recherche : en quoi la mise au jour des conditions de construction et de mobilisation du référent </w:t>
      </w:r>
      <w:proofErr w:type="spellStart"/>
      <w:r>
        <w:t>em</w:t>
      </w:r>
      <w:proofErr w:type="spellEnd"/>
      <w:r>
        <w:t xml:space="preserve">- </w:t>
      </w:r>
      <w:proofErr w:type="spellStart"/>
      <w:r>
        <w:t>pirique</w:t>
      </w:r>
      <w:proofErr w:type="spellEnd"/>
      <w:r>
        <w:t xml:space="preserve"> peut-elle nous permettre de mieux comprendre la façon dont s’élaborent chez les</w:t>
      </w:r>
      <w:r>
        <w:t xml:space="preserve"> élèves les « effets d’argumentation » sur les possibles ? La question est de savoir comment ce référent empirique construit et formalisé peut être mobilisé pour aller jus- qu’au bout de la construction des connaissances, et ce pour tous les élèves de la c</w:t>
      </w:r>
      <w:r>
        <w:t>lasse.</w:t>
      </w:r>
    </w:p>
    <w:p w:rsidR="00880839" w:rsidRDefault="00880839">
      <w:pPr>
        <w:spacing w:line="247" w:lineRule="auto"/>
        <w:jc w:val="both"/>
        <w:sectPr w:rsidR="00880839">
          <w:pgSz w:w="11910" w:h="16840"/>
          <w:pgMar w:top="1580" w:right="620" w:bottom="3040" w:left="1440" w:header="0" w:footer="2843" w:gutter="0"/>
          <w:cols w:space="720"/>
        </w:sectPr>
      </w:pPr>
    </w:p>
    <w:p w:rsidR="00880839" w:rsidRDefault="00880839">
      <w:pPr>
        <w:pStyle w:val="Corpsdetexte"/>
        <w:rPr>
          <w:sz w:val="20"/>
        </w:rPr>
      </w:pPr>
    </w:p>
    <w:p w:rsidR="00880839" w:rsidRDefault="00880839">
      <w:pPr>
        <w:pStyle w:val="Corpsdetexte"/>
        <w:rPr>
          <w:sz w:val="20"/>
        </w:rPr>
      </w:pPr>
    </w:p>
    <w:p w:rsidR="00880839" w:rsidRDefault="00880839">
      <w:pPr>
        <w:pStyle w:val="Corpsdetexte"/>
        <w:rPr>
          <w:sz w:val="20"/>
        </w:rPr>
      </w:pPr>
    </w:p>
    <w:p w:rsidR="00880839" w:rsidRDefault="00880839">
      <w:pPr>
        <w:pStyle w:val="Corpsdetexte"/>
        <w:rPr>
          <w:sz w:val="20"/>
        </w:rPr>
      </w:pPr>
    </w:p>
    <w:p w:rsidR="00880839" w:rsidRDefault="00880839">
      <w:pPr>
        <w:pStyle w:val="Corpsdetexte"/>
        <w:rPr>
          <w:sz w:val="20"/>
        </w:rPr>
      </w:pPr>
    </w:p>
    <w:p w:rsidR="00880839" w:rsidRDefault="00120F6C">
      <w:pPr>
        <w:pStyle w:val="Titre4"/>
        <w:spacing w:before="301"/>
      </w:pPr>
      <w:r>
        <w:rPr>
          <w:sz w:val="28"/>
        </w:rPr>
        <w:t>M</w:t>
      </w:r>
      <w:r>
        <w:t>ETHODOLOGIE</w:t>
      </w:r>
    </w:p>
    <w:p w:rsidR="00880839" w:rsidRDefault="00120F6C">
      <w:pPr>
        <w:spacing w:before="254"/>
        <w:ind w:left="1536"/>
        <w:rPr>
          <w:rFonts w:ascii="Arial" w:hAnsi="Arial"/>
          <w:b/>
          <w:sz w:val="28"/>
        </w:rPr>
      </w:pPr>
      <w:r>
        <w:rPr>
          <w:rFonts w:ascii="Arial" w:hAnsi="Arial"/>
          <w:b/>
          <w:sz w:val="28"/>
        </w:rPr>
        <w:t>Construction des données</w:t>
      </w:r>
    </w:p>
    <w:p w:rsidR="00880839" w:rsidRDefault="00120F6C">
      <w:pPr>
        <w:pStyle w:val="Corpsdetexte"/>
        <w:spacing w:before="196" w:line="244" w:lineRule="auto"/>
        <w:ind w:left="684" w:right="1502" w:firstLine="228"/>
        <w:jc w:val="both"/>
      </w:pPr>
      <w:r>
        <w:t>Le groupe collaboratif se retrouve à Lausanne pour construire et implémenter une séance chez des élèves de 9 ans, portant sur les caractéristiques de la formation de l'ombre d'un objet, im</w:t>
      </w:r>
      <w:r>
        <w:t>pliquant la notion de propagation rectiligne de la lumière.</w:t>
      </w:r>
    </w:p>
    <w:p w:rsidR="00880839" w:rsidRDefault="00120F6C">
      <w:pPr>
        <w:pStyle w:val="Corpsdetexte"/>
        <w:spacing w:before="66" w:line="247" w:lineRule="auto"/>
        <w:ind w:left="684" w:right="1502" w:firstLine="228"/>
        <w:jc w:val="both"/>
      </w:pPr>
      <w:r>
        <w:t>Cette séance d’enseignement représente le dispositif expérimental de l’enquête et sa conception s’appuie sur les obstacles épistémiques et épistémologiques majeurs des notions d’ombre et de lumièr</w:t>
      </w:r>
      <w:r>
        <w:t>e mobilisés dans la séance (</w:t>
      </w:r>
      <w:proofErr w:type="spellStart"/>
      <w:r>
        <w:t>Delserieys</w:t>
      </w:r>
      <w:proofErr w:type="spellEnd"/>
      <w:r>
        <w:t xml:space="preserve"> et al., 2017). L’analyse a priori a permis de mettre l’accent sur les conditions de la production d’une ombre qui nécessite l'alignement de trois éléments dans un ordre immuable : la source de lumière (naturelle ou ar</w:t>
      </w:r>
      <w:r>
        <w:t>tificielle), l'obstacle et l'écran. L'objectif notionnel essentiel de cette thématique est de comprendre que la lumière se déplace en ligne droite.</w:t>
      </w:r>
    </w:p>
    <w:p w:rsidR="00880839" w:rsidRDefault="00120F6C">
      <w:pPr>
        <w:pStyle w:val="Corpsdetexte"/>
        <w:spacing w:before="56"/>
        <w:ind w:left="912"/>
      </w:pPr>
      <w:r>
        <w:t>La séance est documentée de manière multimodale grâce à un ensemble d’artéfacts</w:t>
      </w:r>
    </w:p>
    <w:p w:rsidR="00880839" w:rsidRDefault="00120F6C">
      <w:pPr>
        <w:pStyle w:val="Corpsdetexte"/>
        <w:spacing w:before="6" w:line="247" w:lineRule="auto"/>
        <w:ind w:left="684" w:right="1499"/>
        <w:jc w:val="both"/>
      </w:pPr>
      <w:r>
        <w:t xml:space="preserve">: un enregistrement vidéo ; </w:t>
      </w:r>
      <w:r>
        <w:t xml:space="preserve">des photographies des élèves et de leurs productions ; les fiches utilisées par les élèves et les grille d'observation construites en amont par le col- </w:t>
      </w:r>
      <w:proofErr w:type="spellStart"/>
      <w:r>
        <w:t>lectif</w:t>
      </w:r>
      <w:proofErr w:type="spellEnd"/>
      <w:r>
        <w:t>.</w:t>
      </w:r>
    </w:p>
    <w:p w:rsidR="00880839" w:rsidRDefault="00880839">
      <w:pPr>
        <w:pStyle w:val="Corpsdetexte"/>
        <w:spacing w:before="4"/>
        <w:rPr>
          <w:sz w:val="10"/>
        </w:rPr>
      </w:pPr>
    </w:p>
    <w:p w:rsidR="00880839" w:rsidRDefault="00120F6C">
      <w:pPr>
        <w:spacing w:before="144"/>
        <w:ind w:left="1536"/>
        <w:rPr>
          <w:rFonts w:ascii="Arial" w:hAnsi="Arial"/>
          <w:b/>
          <w:sz w:val="28"/>
        </w:rPr>
      </w:pPr>
      <w:r>
        <w:rPr>
          <w:rFonts w:ascii="Arial" w:hAnsi="Arial"/>
          <w:b/>
          <w:sz w:val="28"/>
        </w:rPr>
        <w:t>Analyse des données</w:t>
      </w:r>
    </w:p>
    <w:p w:rsidR="00880839" w:rsidRDefault="00120F6C">
      <w:pPr>
        <w:pStyle w:val="Corpsdetexte"/>
        <w:spacing w:before="194" w:line="247" w:lineRule="auto"/>
        <w:ind w:left="684" w:right="1497" w:firstLine="228"/>
        <w:jc w:val="both"/>
      </w:pPr>
      <w:r>
        <w:t>La réduction des données conduit à la construction collaborative du synopsis</w:t>
      </w:r>
      <w:r>
        <w:rPr>
          <w:vertAlign w:val="superscript"/>
        </w:rPr>
        <w:t>1</w:t>
      </w:r>
      <w:r>
        <w:t xml:space="preserve"> de la séance, qui se déploie selon 3 grains d’analyse. C’est au troisième niveau, le niveau microscopique, qu’intervient l’identification d’observables pertinents au regard de la</w:t>
      </w:r>
      <w:r>
        <w:t xml:space="preserve"> question de recherche. Ces observables permettent d’identifier des épisodes </w:t>
      </w:r>
      <w:proofErr w:type="spellStart"/>
      <w:r>
        <w:t>remar</w:t>
      </w:r>
      <w:proofErr w:type="spellEnd"/>
      <w:r>
        <w:t xml:space="preserve">- </w:t>
      </w:r>
      <w:proofErr w:type="spellStart"/>
      <w:r>
        <w:t>quables</w:t>
      </w:r>
      <w:proofErr w:type="spellEnd"/>
      <w:r>
        <w:t xml:space="preserve"> qui feront l’objet d’une analyse didactique des interactions verbales.  L’analyse se propose de montrer comment s’effectue le processus de double </w:t>
      </w:r>
      <w:proofErr w:type="spellStart"/>
      <w:r>
        <w:t>sémioti</w:t>
      </w:r>
      <w:proofErr w:type="spellEnd"/>
      <w:r>
        <w:t xml:space="preserve">- </w:t>
      </w:r>
      <w:proofErr w:type="spellStart"/>
      <w:r>
        <w:t>sation</w:t>
      </w:r>
      <w:proofErr w:type="spellEnd"/>
      <w:r>
        <w:t xml:space="preserve"> de</w:t>
      </w:r>
      <w:r>
        <w:t xml:space="preserve">s objets du milieu (qu’ils soient matériels ou symboliques) en analysant la fa- </w:t>
      </w:r>
      <w:proofErr w:type="spellStart"/>
      <w:r>
        <w:t>çon</w:t>
      </w:r>
      <w:proofErr w:type="spellEnd"/>
      <w:r>
        <w:t xml:space="preserve"> dont sont convoqués les registres empiriques et registre des modèles et selon quelle configuration</w:t>
      </w:r>
      <w:r>
        <w:rPr>
          <w:spacing w:val="-4"/>
        </w:rPr>
        <w:t xml:space="preserve"> </w:t>
      </w:r>
      <w:proofErr w:type="spellStart"/>
      <w:r>
        <w:t>topogénétique</w:t>
      </w:r>
      <w:proofErr w:type="spellEnd"/>
      <w:r>
        <w:t>.</w:t>
      </w:r>
    </w:p>
    <w:p w:rsidR="00880839" w:rsidRDefault="00880839">
      <w:pPr>
        <w:pStyle w:val="Corpsdetexte"/>
        <w:rPr>
          <w:sz w:val="20"/>
        </w:rPr>
      </w:pPr>
    </w:p>
    <w:p w:rsidR="00880839" w:rsidRDefault="00880839">
      <w:pPr>
        <w:pStyle w:val="Corpsdetexte"/>
        <w:rPr>
          <w:sz w:val="20"/>
        </w:rPr>
      </w:pPr>
    </w:p>
    <w:p w:rsidR="00880839" w:rsidRDefault="00880839">
      <w:pPr>
        <w:pStyle w:val="Corpsdetexte"/>
        <w:rPr>
          <w:sz w:val="20"/>
        </w:rPr>
      </w:pPr>
    </w:p>
    <w:p w:rsidR="00880839" w:rsidRDefault="00880839">
      <w:pPr>
        <w:pStyle w:val="Corpsdetexte"/>
        <w:rPr>
          <w:sz w:val="20"/>
        </w:rPr>
      </w:pPr>
    </w:p>
    <w:p w:rsidR="00880839" w:rsidRDefault="00880839">
      <w:pPr>
        <w:pStyle w:val="Corpsdetexte"/>
        <w:rPr>
          <w:sz w:val="20"/>
        </w:rPr>
      </w:pPr>
    </w:p>
    <w:p w:rsidR="00880839" w:rsidRDefault="00120F6C">
      <w:pPr>
        <w:pStyle w:val="Corpsdetexte"/>
        <w:rPr>
          <w:sz w:val="15"/>
        </w:rPr>
      </w:pPr>
      <w:r>
        <w:pict>
          <v:line id="_x0000_s1052" alt="" style="position:absolute;z-index:251657216;mso-wrap-edited:f;mso-width-percent:0;mso-height-percent:0;mso-wrap-distance-left:0;mso-wrap-distance-right:0;mso-position-horizontal-relative:page;mso-width-percent:0;mso-height-percent:0" from="106.2pt,10.9pt" to="250.25pt,10.9pt" strokeweight=".6pt">
            <w10:wrap type="topAndBottom" anchorx="page"/>
          </v:line>
        </w:pict>
      </w:r>
    </w:p>
    <w:p w:rsidR="00880839" w:rsidRDefault="00880839">
      <w:pPr>
        <w:pStyle w:val="Corpsdetexte"/>
        <w:spacing w:before="2"/>
        <w:rPr>
          <w:sz w:val="7"/>
        </w:rPr>
      </w:pPr>
    </w:p>
    <w:p w:rsidR="00880839" w:rsidRDefault="00120F6C">
      <w:pPr>
        <w:spacing w:before="95" w:line="244" w:lineRule="auto"/>
        <w:ind w:left="684" w:right="1482"/>
        <w:rPr>
          <w:sz w:val="17"/>
        </w:rPr>
      </w:pPr>
      <w:r>
        <w:rPr>
          <w:position w:val="8"/>
          <w:sz w:val="11"/>
        </w:rPr>
        <w:t xml:space="preserve">1 </w:t>
      </w:r>
      <w:r>
        <w:rPr>
          <w:sz w:val="17"/>
        </w:rPr>
        <w:t>Que les 6 étudiants soient chaleureusement remer</w:t>
      </w:r>
      <w:r>
        <w:rPr>
          <w:sz w:val="17"/>
        </w:rPr>
        <w:t xml:space="preserve">ciés pour le travail accompli et leur contribution à cette </w:t>
      </w:r>
      <w:proofErr w:type="spellStart"/>
      <w:r>
        <w:rPr>
          <w:sz w:val="17"/>
        </w:rPr>
        <w:t>re</w:t>
      </w:r>
      <w:proofErr w:type="spellEnd"/>
      <w:r>
        <w:rPr>
          <w:sz w:val="17"/>
        </w:rPr>
        <w:t>- cherche.</w:t>
      </w:r>
    </w:p>
    <w:p w:rsidR="00880839" w:rsidRDefault="00880839">
      <w:pPr>
        <w:spacing w:line="244" w:lineRule="auto"/>
        <w:rPr>
          <w:sz w:val="17"/>
        </w:rPr>
        <w:sectPr w:rsidR="00880839">
          <w:pgSz w:w="11910" w:h="16840"/>
          <w:pgMar w:top="1580" w:right="620" w:bottom="3040" w:left="1440" w:header="0" w:footer="2843" w:gutter="0"/>
          <w:cols w:space="720"/>
        </w:sectPr>
      </w:pPr>
    </w:p>
    <w:p w:rsidR="00880839" w:rsidRDefault="00880839">
      <w:pPr>
        <w:pStyle w:val="Corpsdetexte"/>
        <w:rPr>
          <w:sz w:val="20"/>
        </w:rPr>
      </w:pPr>
    </w:p>
    <w:p w:rsidR="00880839" w:rsidRDefault="00880839">
      <w:pPr>
        <w:pStyle w:val="Corpsdetexte"/>
        <w:rPr>
          <w:sz w:val="20"/>
        </w:rPr>
      </w:pPr>
    </w:p>
    <w:p w:rsidR="00880839" w:rsidRDefault="00880839">
      <w:pPr>
        <w:pStyle w:val="Corpsdetexte"/>
        <w:rPr>
          <w:sz w:val="20"/>
        </w:rPr>
      </w:pPr>
    </w:p>
    <w:p w:rsidR="00880839" w:rsidRDefault="00880839">
      <w:pPr>
        <w:pStyle w:val="Corpsdetexte"/>
        <w:rPr>
          <w:sz w:val="20"/>
        </w:rPr>
      </w:pPr>
    </w:p>
    <w:p w:rsidR="00880839" w:rsidRDefault="00880839">
      <w:pPr>
        <w:pStyle w:val="Corpsdetexte"/>
        <w:rPr>
          <w:sz w:val="20"/>
        </w:rPr>
      </w:pPr>
    </w:p>
    <w:p w:rsidR="00880839" w:rsidRDefault="00120F6C">
      <w:pPr>
        <w:pStyle w:val="Titre4"/>
        <w:spacing w:before="301"/>
        <w:ind w:left="1538"/>
      </w:pPr>
      <w:r>
        <w:rPr>
          <w:sz w:val="28"/>
        </w:rPr>
        <w:t>E</w:t>
      </w:r>
      <w:r>
        <w:t>LEMENTS DE RESULTATS ET DISCUSSION</w:t>
      </w:r>
    </w:p>
    <w:p w:rsidR="00880839" w:rsidRDefault="00120F6C">
      <w:pPr>
        <w:spacing w:before="254"/>
        <w:ind w:left="1538"/>
        <w:rPr>
          <w:rFonts w:ascii="Arial" w:hAnsi="Arial"/>
          <w:b/>
          <w:sz w:val="28"/>
        </w:rPr>
      </w:pPr>
      <w:r>
        <w:rPr>
          <w:rFonts w:ascii="Arial" w:hAnsi="Arial"/>
          <w:b/>
          <w:sz w:val="28"/>
        </w:rPr>
        <w:t>Présentation de la séquence d’enseignement</w:t>
      </w:r>
    </w:p>
    <w:p w:rsidR="00880839" w:rsidRDefault="00120F6C">
      <w:pPr>
        <w:pStyle w:val="Corpsdetexte"/>
        <w:spacing w:before="196" w:line="247" w:lineRule="auto"/>
        <w:ind w:left="686" w:right="1495" w:firstLine="228"/>
        <w:jc w:val="both"/>
      </w:pPr>
      <w:r>
        <w:t>Le synopsis permet de repérer différentes phases dans la séance : phase 1 (temps d'accueil et d'installation des élèves), phase 2 (rappel du connu), phase 3 (court mo- ment de débat autour des questions de recherche de la séance), phases 4 et 5 (temps d'ex</w:t>
      </w:r>
      <w:r>
        <w:t xml:space="preserve">périences : situations 1 « Comment changer la forme de l’ombre de ton </w:t>
      </w:r>
      <w:proofErr w:type="spellStart"/>
      <w:r>
        <w:t>person</w:t>
      </w:r>
      <w:proofErr w:type="spellEnd"/>
      <w:r>
        <w:t>- nage sans faire bouger la lampe de poche ? » et situation 2 « Que se passe-t-il si tu éclaires les personnages avec plusieurs sources lumineuses ? », phase 6 (temps de dé- bat et</w:t>
      </w:r>
      <w:r>
        <w:t xml:space="preserve"> d'institutionnalisation où les élèves sont regroupés devant le tableau où est </w:t>
      </w:r>
      <w:proofErr w:type="spellStart"/>
      <w:r>
        <w:t>ac</w:t>
      </w:r>
      <w:proofErr w:type="spellEnd"/>
      <w:r>
        <w:t xml:space="preserve">- crochée une affiche (Ombres Possibles – Impossibles, </w:t>
      </w:r>
      <w:r>
        <w:rPr>
          <w:i/>
        </w:rPr>
        <w:t>annexe 1</w:t>
      </w:r>
      <w:r>
        <w:t xml:space="preserve">). Ils débattent et doivent argumenter sur la possibilité ou l'impossibilité des ombres représentées et phase 7 </w:t>
      </w:r>
      <w:r>
        <w:t xml:space="preserve">(production d’une trace écrite et d’une synthèse orale des connaissances </w:t>
      </w:r>
      <w:proofErr w:type="spellStart"/>
      <w:r>
        <w:t>ac</w:t>
      </w:r>
      <w:proofErr w:type="spellEnd"/>
      <w:r>
        <w:t xml:space="preserve">- </w:t>
      </w:r>
      <w:proofErr w:type="spellStart"/>
      <w:r>
        <w:t>quises</w:t>
      </w:r>
      <w:proofErr w:type="spellEnd"/>
      <w:r>
        <w:t xml:space="preserve"> lors de la séance).</w:t>
      </w:r>
    </w:p>
    <w:p w:rsidR="00880839" w:rsidRDefault="00880839">
      <w:pPr>
        <w:pStyle w:val="Corpsdetexte"/>
        <w:spacing w:before="6"/>
        <w:rPr>
          <w:sz w:val="26"/>
        </w:rPr>
      </w:pPr>
    </w:p>
    <w:p w:rsidR="00880839" w:rsidRDefault="00120F6C">
      <w:pPr>
        <w:pStyle w:val="Titre3"/>
        <w:spacing w:line="194" w:lineRule="auto"/>
        <w:ind w:left="686" w:right="1718" w:firstLine="852"/>
      </w:pPr>
      <w:r>
        <w:t>Caractérisation de la construction et de la mise en œuvre du référent empirique</w:t>
      </w:r>
    </w:p>
    <w:p w:rsidR="00880839" w:rsidRDefault="00120F6C">
      <w:pPr>
        <w:pStyle w:val="Corpsdetexte"/>
        <w:spacing w:before="208" w:line="247" w:lineRule="auto"/>
        <w:ind w:left="686" w:right="1498" w:firstLine="228"/>
        <w:jc w:val="both"/>
      </w:pPr>
      <w:r>
        <w:t>La question du changement de statut des objets matériels du milieu part</w:t>
      </w:r>
      <w:r>
        <w:t xml:space="preserve">icipe de la construction du référent empirique par le professeur. Accompagner par des question- </w:t>
      </w:r>
      <w:proofErr w:type="spellStart"/>
      <w:r>
        <w:t>nements</w:t>
      </w:r>
      <w:proofErr w:type="spellEnd"/>
      <w:r>
        <w:t xml:space="preserve"> adaptés (ici) et/ou des activités adéquates, le passage d’un objet quotidien (le </w:t>
      </w:r>
      <w:proofErr w:type="spellStart"/>
      <w:r>
        <w:t>playmobil</w:t>
      </w:r>
      <w:proofErr w:type="spellEnd"/>
      <w:r>
        <w:t xml:space="preserve">) à un objet scolaire (le </w:t>
      </w:r>
      <w:proofErr w:type="spellStart"/>
      <w:r>
        <w:t>playmobil</w:t>
      </w:r>
      <w:proofErr w:type="spellEnd"/>
      <w:r>
        <w:t>, élément d’une activité en</w:t>
      </w:r>
      <w:r>
        <w:t xml:space="preserve"> sciences) puis à un objet d’investigation scientifique (l’obstacle dans le phénomène de production d’une ombre) et enfin à une modélisation (la propagation de la lumière en ligne droite) permet au professeur de guider progressivement l’attention des élève</w:t>
      </w:r>
      <w:r>
        <w:t>s vers des aspects essentiels à l’apprentissage de la notion en jeu. Le référent empirique se construit en partie dans le passage de l’objet quotidien à l’objet d’investigation scientifique.</w:t>
      </w:r>
    </w:p>
    <w:p w:rsidR="00880839" w:rsidRDefault="00120F6C">
      <w:pPr>
        <w:pStyle w:val="Corpsdetexte"/>
        <w:spacing w:before="55" w:line="244" w:lineRule="auto"/>
        <w:ind w:left="686" w:right="1495" w:firstLine="228"/>
        <w:jc w:val="both"/>
      </w:pPr>
      <w:r>
        <w:t xml:space="preserve">L’utilisation du lexique adéquat dans les propositions d’argumentation participe de la rigueur du raisonnement scientifique mais c’est bien l’existence du référent </w:t>
      </w:r>
      <w:proofErr w:type="spellStart"/>
      <w:r>
        <w:t>empi</w:t>
      </w:r>
      <w:proofErr w:type="spellEnd"/>
      <w:r>
        <w:t xml:space="preserve">- </w:t>
      </w:r>
      <w:proofErr w:type="spellStart"/>
      <w:r>
        <w:t>rique</w:t>
      </w:r>
      <w:proofErr w:type="spellEnd"/>
      <w:r>
        <w:t xml:space="preserve"> qui rend possible l’usage de ce lexique et l’argumentation qui s’en suit.</w:t>
      </w:r>
    </w:p>
    <w:p w:rsidR="00880839" w:rsidRDefault="00120F6C">
      <w:pPr>
        <w:pStyle w:val="Corpsdetexte"/>
        <w:spacing w:before="66" w:line="247" w:lineRule="auto"/>
        <w:ind w:left="686" w:right="1497" w:firstLine="228"/>
        <w:jc w:val="both"/>
      </w:pPr>
      <w:r>
        <w:t>Le sch</w:t>
      </w:r>
      <w:r>
        <w:t xml:space="preserve">éma sur lequel on parle et agit (qu’on le modifie ou qu’on en désigne des as- </w:t>
      </w:r>
      <w:proofErr w:type="spellStart"/>
      <w:r>
        <w:t>pects</w:t>
      </w:r>
      <w:proofErr w:type="spellEnd"/>
      <w:r>
        <w:t xml:space="preserve">) permet la mise en scène du référent empirique, dans la mesure où il cristallise la mémoire des expériences passées tout en en conservant les aspects essentiels du </w:t>
      </w:r>
      <w:proofErr w:type="spellStart"/>
      <w:r>
        <w:t>phé</w:t>
      </w:r>
      <w:proofErr w:type="spellEnd"/>
      <w:r>
        <w:t xml:space="preserve">- </w:t>
      </w:r>
      <w:proofErr w:type="spellStart"/>
      <w:r>
        <w:t>nom</w:t>
      </w:r>
      <w:r>
        <w:t>ène</w:t>
      </w:r>
      <w:proofErr w:type="spellEnd"/>
      <w:r>
        <w:t xml:space="preserve"> en jeu : dans cette étude on voit en quoi l’affiche, en remobilisant ce référent empirique, permet la construction d’arguments solides capables de conclure à la pos- </w:t>
      </w:r>
      <w:proofErr w:type="spellStart"/>
      <w:r>
        <w:t>sibilité</w:t>
      </w:r>
      <w:proofErr w:type="spellEnd"/>
      <w:r>
        <w:t xml:space="preserve"> ou à l’impossibilité des cas soumis aux élèves.</w:t>
      </w:r>
    </w:p>
    <w:p w:rsidR="00880839" w:rsidRDefault="00880839">
      <w:pPr>
        <w:spacing w:line="247" w:lineRule="auto"/>
        <w:jc w:val="both"/>
        <w:sectPr w:rsidR="00880839">
          <w:pgSz w:w="11910" w:h="16840"/>
          <w:pgMar w:top="1580" w:right="620" w:bottom="3040" w:left="1440" w:header="0" w:footer="2843" w:gutter="0"/>
          <w:cols w:space="720"/>
        </w:sectPr>
      </w:pPr>
    </w:p>
    <w:p w:rsidR="00880839" w:rsidRDefault="00880839">
      <w:pPr>
        <w:pStyle w:val="Corpsdetexte"/>
        <w:rPr>
          <w:sz w:val="20"/>
        </w:rPr>
      </w:pPr>
    </w:p>
    <w:p w:rsidR="00880839" w:rsidRDefault="00880839">
      <w:pPr>
        <w:pStyle w:val="Corpsdetexte"/>
        <w:rPr>
          <w:sz w:val="20"/>
        </w:rPr>
      </w:pPr>
    </w:p>
    <w:p w:rsidR="00880839" w:rsidRDefault="00880839">
      <w:pPr>
        <w:pStyle w:val="Corpsdetexte"/>
        <w:rPr>
          <w:sz w:val="20"/>
        </w:rPr>
      </w:pPr>
    </w:p>
    <w:p w:rsidR="00880839" w:rsidRDefault="00880839">
      <w:pPr>
        <w:pStyle w:val="Corpsdetexte"/>
        <w:rPr>
          <w:sz w:val="20"/>
        </w:rPr>
      </w:pPr>
    </w:p>
    <w:p w:rsidR="00880839" w:rsidRDefault="00880839">
      <w:pPr>
        <w:pStyle w:val="Corpsdetexte"/>
        <w:rPr>
          <w:sz w:val="20"/>
        </w:rPr>
      </w:pPr>
    </w:p>
    <w:p w:rsidR="00880839" w:rsidRDefault="00880839">
      <w:pPr>
        <w:pStyle w:val="Corpsdetexte"/>
        <w:spacing w:before="9"/>
        <w:rPr>
          <w:sz w:val="31"/>
        </w:rPr>
      </w:pPr>
    </w:p>
    <w:p w:rsidR="00880839" w:rsidRDefault="00120F6C">
      <w:pPr>
        <w:pStyle w:val="Titre3"/>
        <w:spacing w:line="194" w:lineRule="auto"/>
        <w:ind w:left="684" w:right="1482" w:firstLine="852"/>
      </w:pPr>
      <w:r>
        <w:t>Le débat scientifique, un processus interactif de partage des responsabilités entre l’enseignante et les élèves</w:t>
      </w:r>
    </w:p>
    <w:p w:rsidR="00880839" w:rsidRDefault="00120F6C">
      <w:pPr>
        <w:pStyle w:val="Corpsdetexte"/>
        <w:spacing w:before="207" w:line="247" w:lineRule="auto"/>
        <w:ind w:left="684" w:right="1500" w:firstLine="228"/>
        <w:jc w:val="both"/>
      </w:pPr>
      <w:r>
        <w:t xml:space="preserve">Le processus d’évolution de la </w:t>
      </w:r>
      <w:proofErr w:type="spellStart"/>
      <w:r>
        <w:t>topogénèse</w:t>
      </w:r>
      <w:proofErr w:type="spellEnd"/>
      <w:r>
        <w:t xml:space="preserve"> conduit à une prise en charge </w:t>
      </w:r>
      <w:proofErr w:type="spellStart"/>
      <w:r>
        <w:t>progres</w:t>
      </w:r>
      <w:proofErr w:type="spellEnd"/>
      <w:r>
        <w:t xml:space="preserve">- </w:t>
      </w:r>
      <w:proofErr w:type="spellStart"/>
      <w:r>
        <w:t>sive</w:t>
      </w:r>
      <w:proofErr w:type="spellEnd"/>
      <w:r>
        <w:t xml:space="preserve"> par les élèves de la validation des arguments sur la base,</w:t>
      </w:r>
      <w:r>
        <w:t xml:space="preserve"> au départ des éléments constitutifs du référent empirique puis des éléments du registre des théories et des mo- </w:t>
      </w:r>
      <w:proofErr w:type="spellStart"/>
      <w:r>
        <w:t>dèles</w:t>
      </w:r>
      <w:proofErr w:type="spellEnd"/>
      <w:r>
        <w:t xml:space="preserve">. C’est donc l’existence d’un référent empirique partagé et fondé sur des </w:t>
      </w:r>
      <w:proofErr w:type="spellStart"/>
      <w:r>
        <w:t>expé</w:t>
      </w:r>
      <w:proofErr w:type="spellEnd"/>
      <w:r>
        <w:t xml:space="preserve">- </w:t>
      </w:r>
      <w:proofErr w:type="spellStart"/>
      <w:r>
        <w:t>riences</w:t>
      </w:r>
      <w:proofErr w:type="spellEnd"/>
      <w:r>
        <w:t xml:space="preserve"> en classe et sa mobilisation par l’enseignant qui,</w:t>
      </w:r>
      <w:r>
        <w:t xml:space="preserve"> s’efforçant de rendre les élèves attentifs à certains aspects du phénomène, va favoriser ce passage du registre empirique au registre théorique, et de même de l’objet scolaire au modèle. Ainsi, c’est la double sémiotisation des objets, orchestrée par l’en</w:t>
      </w:r>
      <w:r>
        <w:t>seignante sur la base de l’existence d’un référent empirique, qui va permettre aux élèves – dans le cadre du dé- bat argumentatif – le passage de l’hétéronomie (non connaissance de la règle) à l’autonomie (usage émancipateur de la règle).</w:t>
      </w:r>
    </w:p>
    <w:p w:rsidR="00880839" w:rsidRDefault="00880839">
      <w:pPr>
        <w:pStyle w:val="Corpsdetexte"/>
        <w:spacing w:before="6"/>
        <w:rPr>
          <w:sz w:val="27"/>
        </w:rPr>
      </w:pPr>
    </w:p>
    <w:p w:rsidR="00880839" w:rsidRDefault="00120F6C">
      <w:pPr>
        <w:pStyle w:val="Titre4"/>
        <w:ind w:left="684"/>
      </w:pPr>
      <w:r>
        <w:rPr>
          <w:sz w:val="28"/>
        </w:rPr>
        <w:t>C</w:t>
      </w:r>
      <w:r>
        <w:t>ONCLUSION</w:t>
      </w:r>
    </w:p>
    <w:p w:rsidR="00880839" w:rsidRDefault="00120F6C">
      <w:pPr>
        <w:pStyle w:val="Corpsdetexte"/>
        <w:spacing w:before="55" w:line="247" w:lineRule="auto"/>
        <w:ind w:left="684" w:right="1499" w:firstLine="228"/>
        <w:jc w:val="both"/>
      </w:pPr>
      <w:r>
        <w:t>Les p</w:t>
      </w:r>
      <w:r>
        <w:t xml:space="preserve">remières conditions de l’opérationnalité du référent empirique sont sa diversité et sa dimension collective : dessiner son ombre dans la cour, jouer avec la taille de l’ombre, éprouver le trajet de la lumière tout en mobilisant ses représentations </w:t>
      </w:r>
      <w:proofErr w:type="spellStart"/>
      <w:r>
        <w:t>pre</w:t>
      </w:r>
      <w:proofErr w:type="spellEnd"/>
      <w:r>
        <w:t xml:space="preserve">- </w:t>
      </w:r>
      <w:proofErr w:type="spellStart"/>
      <w:r>
        <w:t>miè</w:t>
      </w:r>
      <w:r>
        <w:t>res</w:t>
      </w:r>
      <w:proofErr w:type="spellEnd"/>
      <w:r>
        <w:t xml:space="preserve"> par des prévisions plus ou moins justifiées permet ici à tous les élèves de dis- poser d’un capital d’expériences partagées et de premières connaissances sur le phénomène étudié. Ce capital va leur permettre de disposer d’éléments fondés et non discuta</w:t>
      </w:r>
      <w:r>
        <w:t xml:space="preserve">bles pour construire les argumentations nécessaires à la validation. Tout se passe comme si, dans le cadre de l’argumentation sur les possibles, le référent </w:t>
      </w:r>
      <w:proofErr w:type="spellStart"/>
      <w:r>
        <w:t>empi</w:t>
      </w:r>
      <w:proofErr w:type="spellEnd"/>
      <w:r>
        <w:t xml:space="preserve">- </w:t>
      </w:r>
      <w:proofErr w:type="spellStart"/>
      <w:r>
        <w:t>rique</w:t>
      </w:r>
      <w:proofErr w:type="spellEnd"/>
      <w:r>
        <w:t xml:space="preserve"> jouait le rôle d’interface entre les expérimentations partagées et mémorables du regist</w:t>
      </w:r>
      <w:r>
        <w:t>re empirique et les règles (des conditions de formation des ombres) progressive- ment construites du registre des théories et des modèles. La formalisation (mise en mots) des éléments factuels du registre empirique dans la situation de production d’argumen</w:t>
      </w:r>
      <w:r>
        <w:t xml:space="preserve">ts sur les possibles semble favoriser le processus de changement </w:t>
      </w:r>
      <w:proofErr w:type="spellStart"/>
      <w:r>
        <w:t>concep</w:t>
      </w:r>
      <w:proofErr w:type="spellEnd"/>
      <w:r>
        <w:t xml:space="preserve">- </w:t>
      </w:r>
      <w:proofErr w:type="spellStart"/>
      <w:r>
        <w:t>tuel</w:t>
      </w:r>
      <w:proofErr w:type="spellEnd"/>
      <w:r>
        <w:t>.</w:t>
      </w:r>
    </w:p>
    <w:p w:rsidR="00880839" w:rsidRDefault="00880839">
      <w:pPr>
        <w:pStyle w:val="Corpsdetexte"/>
        <w:spacing w:before="8"/>
        <w:rPr>
          <w:sz w:val="34"/>
        </w:rPr>
      </w:pPr>
    </w:p>
    <w:p w:rsidR="00880839" w:rsidRDefault="00120F6C">
      <w:pPr>
        <w:pStyle w:val="Titre4"/>
        <w:ind w:left="684"/>
      </w:pPr>
      <w:r>
        <w:rPr>
          <w:w w:val="95"/>
          <w:sz w:val="28"/>
        </w:rPr>
        <w:t>B</w:t>
      </w:r>
      <w:r>
        <w:rPr>
          <w:w w:val="95"/>
        </w:rPr>
        <w:t>IBLIOGRAPHIE</w:t>
      </w:r>
    </w:p>
    <w:p w:rsidR="00880839" w:rsidRDefault="00120F6C">
      <w:pPr>
        <w:spacing w:before="191"/>
        <w:ind w:left="684"/>
      </w:pPr>
      <w:r>
        <w:t xml:space="preserve">Bachelard, G. (1938). </w:t>
      </w:r>
      <w:r>
        <w:rPr>
          <w:i/>
        </w:rPr>
        <w:t xml:space="preserve">La formation de </w:t>
      </w:r>
      <w:proofErr w:type="gramStart"/>
      <w:r>
        <w:rPr>
          <w:i/>
        </w:rPr>
        <w:t>l’ esprit</w:t>
      </w:r>
      <w:proofErr w:type="gramEnd"/>
      <w:r>
        <w:rPr>
          <w:i/>
        </w:rPr>
        <w:t xml:space="preserve"> scientifique</w:t>
      </w:r>
      <w:r>
        <w:t xml:space="preserve">. </w:t>
      </w:r>
      <w:proofErr w:type="gramStart"/>
      <w:r>
        <w:t>Paris:</w:t>
      </w:r>
      <w:proofErr w:type="gramEnd"/>
      <w:r>
        <w:t xml:space="preserve"> </w:t>
      </w:r>
      <w:proofErr w:type="spellStart"/>
      <w:r>
        <w:t>Vrin</w:t>
      </w:r>
      <w:proofErr w:type="spellEnd"/>
      <w:r>
        <w:t>.</w:t>
      </w:r>
    </w:p>
    <w:p w:rsidR="00880839" w:rsidRDefault="00120F6C">
      <w:pPr>
        <w:pStyle w:val="Corpsdetexte"/>
        <w:spacing w:before="69" w:line="244" w:lineRule="auto"/>
        <w:ind w:left="1250" w:right="1482" w:hanging="567"/>
      </w:pPr>
      <w:proofErr w:type="spellStart"/>
      <w:r>
        <w:t>Bisault</w:t>
      </w:r>
      <w:proofErr w:type="spellEnd"/>
      <w:r>
        <w:t>, J. &amp; Fontaine, V. (2004). Constituer une communauté scientifique scolaire pour</w:t>
      </w:r>
      <w:r>
        <w:t xml:space="preserve"> susciter l'argumentation entre élèves. </w:t>
      </w:r>
      <w:r>
        <w:rPr>
          <w:i/>
        </w:rPr>
        <w:t xml:space="preserve">ASTER, </w:t>
      </w:r>
      <w:r>
        <w:t>38, 91-122.</w:t>
      </w:r>
    </w:p>
    <w:p w:rsidR="00880839" w:rsidRDefault="00880839">
      <w:pPr>
        <w:spacing w:line="244" w:lineRule="auto"/>
        <w:sectPr w:rsidR="00880839">
          <w:pgSz w:w="11910" w:h="16840"/>
          <w:pgMar w:top="1580" w:right="620" w:bottom="3040" w:left="1440" w:header="0" w:footer="2843" w:gutter="0"/>
          <w:cols w:space="720"/>
        </w:sectPr>
      </w:pPr>
    </w:p>
    <w:p w:rsidR="00880839" w:rsidRDefault="00880839">
      <w:pPr>
        <w:pStyle w:val="Corpsdetexte"/>
        <w:rPr>
          <w:sz w:val="20"/>
        </w:rPr>
      </w:pPr>
    </w:p>
    <w:p w:rsidR="00880839" w:rsidRDefault="00880839">
      <w:pPr>
        <w:pStyle w:val="Corpsdetexte"/>
        <w:rPr>
          <w:sz w:val="20"/>
        </w:rPr>
      </w:pPr>
    </w:p>
    <w:p w:rsidR="00880839" w:rsidRDefault="00880839">
      <w:pPr>
        <w:pStyle w:val="Corpsdetexte"/>
        <w:rPr>
          <w:sz w:val="20"/>
        </w:rPr>
      </w:pPr>
    </w:p>
    <w:p w:rsidR="00880839" w:rsidRDefault="00880839">
      <w:pPr>
        <w:pStyle w:val="Corpsdetexte"/>
        <w:rPr>
          <w:sz w:val="20"/>
        </w:rPr>
      </w:pPr>
    </w:p>
    <w:p w:rsidR="00880839" w:rsidRDefault="00880839">
      <w:pPr>
        <w:pStyle w:val="Corpsdetexte"/>
        <w:rPr>
          <w:sz w:val="20"/>
        </w:rPr>
      </w:pPr>
    </w:p>
    <w:p w:rsidR="00880839" w:rsidRDefault="00880839">
      <w:pPr>
        <w:pStyle w:val="Corpsdetexte"/>
        <w:spacing w:before="8"/>
        <w:rPr>
          <w:sz w:val="24"/>
        </w:rPr>
      </w:pPr>
    </w:p>
    <w:p w:rsidR="00880839" w:rsidRDefault="00120F6C">
      <w:pPr>
        <w:pStyle w:val="Corpsdetexte"/>
        <w:spacing w:before="108" w:line="220" w:lineRule="auto"/>
        <w:ind w:left="1253" w:right="1502" w:hanging="567"/>
        <w:jc w:val="both"/>
      </w:pPr>
      <w:proofErr w:type="spellStart"/>
      <w:r>
        <w:t>Bisault</w:t>
      </w:r>
      <w:proofErr w:type="spellEnd"/>
      <w:r>
        <w:t xml:space="preserve">, J. (2010). Des moments de sciences à l’école primaire : quelles références pour quels enjeux ? </w:t>
      </w:r>
      <w:r>
        <w:rPr>
          <w:i/>
        </w:rPr>
        <w:t>RDST</w:t>
      </w:r>
      <w:r>
        <w:t>, 2, 53</w:t>
      </w:r>
      <w:r>
        <w:rPr>
          <w:rFonts w:ascii="Arial Unicode MS" w:hAnsi="Arial Unicode MS"/>
        </w:rPr>
        <w:t>‑</w:t>
      </w:r>
      <w:r>
        <w:rPr>
          <w:rFonts w:ascii="Arial Unicode MS" w:hAnsi="Arial Unicode MS"/>
          <w:spacing w:val="37"/>
        </w:rPr>
        <w:t xml:space="preserve"> </w:t>
      </w:r>
      <w:r>
        <w:t>78.</w:t>
      </w:r>
    </w:p>
    <w:p w:rsidR="00880839" w:rsidRDefault="00120F6C">
      <w:pPr>
        <w:pStyle w:val="Corpsdetexte"/>
        <w:spacing w:before="58" w:line="247" w:lineRule="auto"/>
        <w:ind w:left="1253" w:right="1500" w:hanging="567"/>
        <w:jc w:val="both"/>
      </w:pPr>
      <w:proofErr w:type="spellStart"/>
      <w:r>
        <w:t>Coquidé</w:t>
      </w:r>
      <w:proofErr w:type="spellEnd"/>
      <w:r>
        <w:t xml:space="preserve">, M. (1998). Les pratiques </w:t>
      </w:r>
      <w:proofErr w:type="spellStart"/>
      <w:r>
        <w:t>experimentales</w:t>
      </w:r>
      <w:proofErr w:type="spellEnd"/>
      <w:r>
        <w:t xml:space="preserve"> : propos d'enseignants et </w:t>
      </w:r>
      <w:proofErr w:type="spellStart"/>
      <w:r>
        <w:t>concep</w:t>
      </w:r>
      <w:proofErr w:type="spellEnd"/>
      <w:r>
        <w:t xml:space="preserve">- </w:t>
      </w:r>
      <w:proofErr w:type="spellStart"/>
      <w:r>
        <w:t>tions</w:t>
      </w:r>
      <w:proofErr w:type="spellEnd"/>
      <w:r>
        <w:t xml:space="preserve"> officielles. </w:t>
      </w:r>
      <w:r>
        <w:rPr>
          <w:i/>
        </w:rPr>
        <w:t>ASTER</w:t>
      </w:r>
      <w:r>
        <w:t>, 26, 110-132.</w:t>
      </w:r>
    </w:p>
    <w:p w:rsidR="00880839" w:rsidRPr="00191DE7" w:rsidRDefault="00120F6C">
      <w:pPr>
        <w:spacing w:before="59" w:line="247" w:lineRule="auto"/>
        <w:ind w:left="1253" w:right="1502" w:hanging="567"/>
        <w:jc w:val="both"/>
        <w:rPr>
          <w:i/>
          <w:lang w:val="en-US"/>
        </w:rPr>
      </w:pPr>
      <w:proofErr w:type="spellStart"/>
      <w:r>
        <w:t>Delserieys</w:t>
      </w:r>
      <w:proofErr w:type="spellEnd"/>
      <w:r>
        <w:t>, A</w:t>
      </w:r>
      <w:r>
        <w:t xml:space="preserve">., </w:t>
      </w:r>
      <w:proofErr w:type="spellStart"/>
      <w:r>
        <w:t>Jégou</w:t>
      </w:r>
      <w:proofErr w:type="spellEnd"/>
      <w:r>
        <w:t xml:space="preserve">, C., </w:t>
      </w:r>
      <w:proofErr w:type="spellStart"/>
      <w:r>
        <w:t>Boilevin</w:t>
      </w:r>
      <w:proofErr w:type="spellEnd"/>
      <w:r>
        <w:t xml:space="preserve">, J.-M., &amp; </w:t>
      </w:r>
      <w:proofErr w:type="spellStart"/>
      <w:r>
        <w:t>Ravanis</w:t>
      </w:r>
      <w:proofErr w:type="spellEnd"/>
      <w:r>
        <w:t xml:space="preserve">, K. (2017). </w:t>
      </w:r>
      <w:r w:rsidRPr="00191DE7">
        <w:rPr>
          <w:lang w:val="en-US"/>
        </w:rPr>
        <w:t xml:space="preserve">Precursor model and preschool science learning about shadows formation. </w:t>
      </w:r>
      <w:r w:rsidRPr="00191DE7">
        <w:rPr>
          <w:i/>
          <w:lang w:val="en-US"/>
        </w:rPr>
        <w:t>Research in Science and Technological Education. https://doi.org/10.1080/02635143.2017.1353960</w:t>
      </w:r>
    </w:p>
    <w:p w:rsidR="00880839" w:rsidRDefault="00120F6C">
      <w:pPr>
        <w:spacing w:before="59" w:line="247" w:lineRule="auto"/>
        <w:ind w:left="1253" w:right="1501" w:hanging="512"/>
        <w:jc w:val="both"/>
      </w:pPr>
      <w:proofErr w:type="spellStart"/>
      <w:r>
        <w:t>Marlot</w:t>
      </w:r>
      <w:proofErr w:type="spellEnd"/>
      <w:r>
        <w:t xml:space="preserve">, C., &amp; Morge, L. (2016). </w:t>
      </w:r>
      <w:r>
        <w:rPr>
          <w:i/>
        </w:rPr>
        <w:t>L’in</w:t>
      </w:r>
      <w:r>
        <w:rPr>
          <w:i/>
        </w:rPr>
        <w:t>vestigation scientifique et technologique. Com- prendre les difficultés de mise en œuvre pour mieux les réduire</w:t>
      </w:r>
      <w:r>
        <w:t>. Rennes : PUR.</w:t>
      </w:r>
    </w:p>
    <w:p w:rsidR="00880839" w:rsidRDefault="00120F6C">
      <w:pPr>
        <w:spacing w:before="60" w:line="244" w:lineRule="auto"/>
        <w:ind w:left="1253" w:right="1504" w:hanging="567"/>
        <w:jc w:val="both"/>
      </w:pPr>
      <w:proofErr w:type="spellStart"/>
      <w:r>
        <w:t>Martinand</w:t>
      </w:r>
      <w:proofErr w:type="spellEnd"/>
      <w:r>
        <w:t>, J.-L. (</w:t>
      </w:r>
      <w:proofErr w:type="spellStart"/>
      <w:r>
        <w:t>dir</w:t>
      </w:r>
      <w:proofErr w:type="spellEnd"/>
      <w:r>
        <w:t xml:space="preserve">.) (1992). </w:t>
      </w:r>
      <w:r>
        <w:rPr>
          <w:i/>
        </w:rPr>
        <w:t>Enseignement et apprentissage de la modélisation en sciences</w:t>
      </w:r>
      <w:r>
        <w:t>. Paris : INRP.</w:t>
      </w:r>
    </w:p>
    <w:p w:rsidR="00880839" w:rsidRDefault="00120F6C">
      <w:pPr>
        <w:pStyle w:val="Corpsdetexte"/>
        <w:spacing w:before="62" w:line="247" w:lineRule="auto"/>
        <w:ind w:left="1253" w:right="1498" w:hanging="567"/>
        <w:jc w:val="both"/>
      </w:pPr>
      <w:r>
        <w:t>Monod-</w:t>
      </w:r>
      <w:proofErr w:type="spellStart"/>
      <w:r>
        <w:t>Ansaldi</w:t>
      </w:r>
      <w:proofErr w:type="spellEnd"/>
      <w:r>
        <w:t xml:space="preserve">, R., &amp; </w:t>
      </w:r>
      <w:r>
        <w:t>Prieur, M. (2011). Démarches d’investigation dans l’enseignement secondaire : représentations des enseignants de mathématiques, SPC, SVT et technologie. Consulté à l’adresse https://hal.archives- ouvertes.fr/hal-01025040/</w:t>
      </w:r>
    </w:p>
    <w:p w:rsidR="00880839" w:rsidRDefault="00120F6C">
      <w:pPr>
        <w:pStyle w:val="Corpsdetexte"/>
        <w:spacing w:before="60" w:line="244" w:lineRule="auto"/>
        <w:ind w:left="1253" w:right="1502" w:hanging="567"/>
        <w:jc w:val="both"/>
      </w:pPr>
      <w:r>
        <w:t>Orange, C. (2003). Débat scientifi</w:t>
      </w:r>
      <w:r>
        <w:t xml:space="preserve">que dans la classe, problématisation et argumentation : Le cas d'un débat sur la nutrition au cours moyen. </w:t>
      </w:r>
      <w:r>
        <w:rPr>
          <w:i/>
        </w:rPr>
        <w:t>ASTER</w:t>
      </w:r>
      <w:r>
        <w:t>, 37, 84-107.</w:t>
      </w:r>
    </w:p>
    <w:p w:rsidR="00880839" w:rsidRDefault="00120F6C">
      <w:pPr>
        <w:pStyle w:val="Corpsdetexte"/>
        <w:spacing w:before="65" w:line="244" w:lineRule="auto"/>
        <w:ind w:left="1253" w:right="1500" w:hanging="567"/>
        <w:jc w:val="both"/>
      </w:pPr>
      <w:proofErr w:type="spellStart"/>
      <w:r>
        <w:t>Schneuwly</w:t>
      </w:r>
      <w:proofErr w:type="spellEnd"/>
      <w:r>
        <w:t xml:space="preserve">, B. (2000). Les outils de l’enseignant, un essai didactique. </w:t>
      </w:r>
      <w:r>
        <w:rPr>
          <w:i/>
        </w:rPr>
        <w:t xml:space="preserve">Repères, </w:t>
      </w:r>
      <w:r>
        <w:t>22, 19- 38.</w:t>
      </w:r>
    </w:p>
    <w:p w:rsidR="00880839" w:rsidRDefault="00120F6C">
      <w:pPr>
        <w:spacing w:before="63" w:line="247" w:lineRule="auto"/>
        <w:ind w:left="1253" w:right="1498" w:hanging="567"/>
        <w:jc w:val="both"/>
      </w:pPr>
      <w:proofErr w:type="spellStart"/>
      <w:r>
        <w:t>Schubauer</w:t>
      </w:r>
      <w:proofErr w:type="spellEnd"/>
      <w:r>
        <w:t xml:space="preserve">, Maria-Luisa, et al. (2007). Un modèle de l'action conjointe professeur- élèves : les phénomènes didactiques qu'il peut/doit traiter. In G. Sensevy &amp; A. Mercier (Ed), </w:t>
      </w:r>
      <w:r>
        <w:rPr>
          <w:i/>
        </w:rPr>
        <w:t xml:space="preserve">Agir ensemble. L'action didactique conjointe du professeur et des élèves </w:t>
      </w:r>
      <w:r>
        <w:t>(pp. 5</w:t>
      </w:r>
      <w:r>
        <w:t>1-91). Rennes : PUR.</w:t>
      </w:r>
    </w:p>
    <w:p w:rsidR="00880839" w:rsidRDefault="00120F6C" w:rsidP="006F7DAC">
      <w:pPr>
        <w:spacing w:before="60" w:line="244" w:lineRule="auto"/>
        <w:ind w:left="1253" w:right="1505" w:hanging="567"/>
        <w:jc w:val="both"/>
        <w:sectPr w:rsidR="00880839">
          <w:pgSz w:w="11910" w:h="16840"/>
          <w:pgMar w:top="1580" w:right="620" w:bottom="3040" w:left="1440" w:header="0" w:footer="2843" w:gutter="0"/>
          <w:cols w:space="720"/>
        </w:sectPr>
      </w:pPr>
      <w:r>
        <w:t xml:space="preserve">Sensevy, G. (2011). </w:t>
      </w:r>
      <w:r>
        <w:rPr>
          <w:i/>
        </w:rPr>
        <w:t>Le sens du savoir. Éléments pour une théorie de l’action con- jointe en didactique</w:t>
      </w:r>
      <w:r>
        <w:t>. Bruxelles : De Boeck</w:t>
      </w:r>
    </w:p>
    <w:p w:rsidR="00880839" w:rsidRDefault="00120F6C">
      <w:pPr>
        <w:pStyle w:val="Corpsdetexte"/>
        <w:rPr>
          <w:sz w:val="20"/>
        </w:rPr>
      </w:pPr>
      <w:r>
        <w:lastRenderedPageBreak/>
        <w:pict>
          <v:group id="_x0000_s1026" alt="" style="position:absolute;margin-left:66.65pt;margin-top:344.65pt;width:506.6pt;height:299.6pt;z-index:251658240;mso-position-horizontal-relative:page;mso-position-vertical-relative:page" coordorigin="1333,6893" coordsize="10132,59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alt="" style="position:absolute;left:2131;top:7734;width:7672;height:4330">
              <v:imagedata r:id="rId8" o:title=""/>
            </v:shape>
            <v:shape id="_x0000_s1028" alt="" style="position:absolute;left:10243;top:7595;width:1202;height:542" coordorigin="10243,7595" coordsize="1202,542" path="m11354,7595r-1020,l10298,7602r-29,19l10250,7650r-7,35l10243,8044r7,36l10269,8110r29,19l10334,8136r1020,l11390,8129r28,-19l11437,8080r7,-36l11444,7685r-7,-35l11418,7621r-28,-19l11354,7595xe" fillcolor="#4f81bc" stroked="f">
              <v:path arrowok="t"/>
            </v:shape>
            <v:shape id="_x0000_s1029" alt="" style="position:absolute;left:10243;top:7595;width:1202;height:542" coordorigin="10243,7595" coordsize="1202,542" path="m10243,7685r7,-35l10269,7621r29,-19l10334,7595r1020,l11390,7602r28,19l11437,7650r7,35l11444,8044r-7,36l11418,8110r-28,19l11354,8136r-1020,l10298,8129r-29,-19l10250,8080r-7,-36l10243,7685xe" filled="f" strokecolor="#385d89" strokeweight=".69161mm">
              <v:path arrowok="t"/>
            </v:shape>
            <v:shape id="_x0000_s1030" alt="" style="position:absolute;left:7369;top:7734;width:2893;height:685" coordorigin="7369,7735" coordsize="2893,685" o:spt="100" adj="0,,0" path="m7637,8123r-268,203l7692,8419r-18,-99l8195,8222r-539,l7637,8123xm10244,7735l7656,8222r539,l10262,7834r-18,-99xe" fillcolor="#497dba" stroked="f">
              <v:stroke joinstyle="round"/>
              <v:formulas/>
              <v:path arrowok="t" o:connecttype="segments"/>
            </v:shape>
            <v:shape id="_x0000_s1031" alt="" style="position:absolute;left:6036;top:6912;width:1082;height:541" coordorigin="6037,6913" coordsize="1082,541" path="m7028,6913r-899,l6093,6920r-29,19l6044,6968r-7,35l6037,7364r7,35l6064,7427r29,20l6129,7454r899,l7064,7447r29,-20l7112,7399r7,-35l7119,7003r-7,-35l7093,6939r-29,-19l7028,6913xe" fillcolor="#4f81bc" stroked="f">
              <v:path arrowok="t"/>
            </v:shape>
            <v:shape id="_x0000_s1032" alt="" style="position:absolute;left:6036;top:6912;width:1082;height:541" coordorigin="6037,6913" coordsize="1082,541" path="m6037,7003r7,-35l6064,6939r29,-19l6129,6913r899,l7064,6920r29,19l7112,6968r7,35l7119,7364r-7,35l7093,7427r-29,20l7028,7454r-899,l6093,7447r-29,-20l6044,7399r-7,-35l6037,7003xe" filled="f" strokecolor="#385d89" strokeweight=".69161mm">
              <v:path arrowok="t"/>
            </v:shape>
            <v:shape id="_x0000_s1033" alt="" style="position:absolute;left:6288;top:7416;width:403;height:570" coordorigin="6288,7416" coordsize="403,570" o:spt="100" adj="0,,0" path="m6330,7652r-42,334l6579,7819r-82,-56l6534,7708r-121,l6330,7652xm6606,7416r-193,292l6534,7708r157,-236l6606,7416xe" fillcolor="#497dba" stroked="f">
              <v:stroke joinstyle="round"/>
              <v:formulas/>
              <v:path arrowok="t" o:connecttype="segments"/>
            </v:shape>
            <v:shape id="_x0000_s1034" alt="" style="position:absolute;left:2792;top:6912;width:1082;height:541" coordorigin="2793,6913" coordsize="1082,541" path="m3784,6913r-900,l2848,6920r-29,19l2800,6968r-7,35l2793,7364r7,35l2819,7427r29,20l2884,7454r900,l3820,7447r28,-20l3867,7399r7,-35l3874,7003r-7,-35l3848,6939r-28,-19l3784,6913xe" fillcolor="#4f81bc" stroked="f">
              <v:path arrowok="t"/>
            </v:shape>
            <v:shape id="_x0000_s1035" alt="" style="position:absolute;left:2792;top:6912;width:1082;height:541" coordorigin="2793,6913" coordsize="1082,541" path="m2793,7003r7,-35l2819,6939r29,-19l2884,6913r900,l3820,6920r28,19l3867,6968r7,35l3874,7364r-7,35l3848,7427r-28,20l3784,7454r-900,l2848,7447r-29,-20l2800,7399r-7,-35l2793,7003xe" filled="f" strokecolor="#385d89" strokeweight=".69161mm">
              <v:path arrowok="t"/>
            </v:shape>
            <v:shape id="_x0000_s1036" alt="" style="position:absolute;left:3369;top:7408;width:756;height:758" coordorigin="3370,7409" coordsize="756,758" o:spt="100" adj="0,,0" path="m3440,7409r-70,70l3877,7989r-71,71l4125,8167r-83,-249l3948,7918,3440,7409xm4018,7846r-70,72l4042,7918r-24,-72xe" fillcolor="#497dba" stroked="f">
              <v:stroke joinstyle="round"/>
              <v:formulas/>
              <v:path arrowok="t" o:connecttype="segments"/>
            </v:shape>
            <v:shape id="_x0000_s1037" alt="" style="position:absolute;left:4475;top:6912;width:1082;height:541" coordorigin="4475,6913" coordsize="1082,541" path="m5467,6913r-900,l4531,6920r-29,19l4482,6968r-7,35l4475,7364r7,35l4502,7427r29,20l4567,7454r900,l5502,7447r28,-20l5549,7399r7,-35l5556,7003r-7,-35l5530,6939r-28,-19l5467,6913xe" fillcolor="#4f81bc" stroked="f">
              <v:path arrowok="t"/>
            </v:shape>
            <v:shape id="_x0000_s1038" alt="" style="position:absolute;left:4475;top:6912;width:1082;height:541" coordorigin="4475,6913" coordsize="1082,541" path="m4475,7003r7,-35l4502,6939r29,-19l4567,6913r900,l5502,6920r28,19l5549,6968r7,35l5556,7364r-7,35l5530,7427r-28,20l5467,7454r-900,l4531,7447r-29,-20l4482,7399r-7,-35l4475,7003xe" filled="f" strokecolor="#385d89" strokeweight=".69161mm">
              <v:path arrowok="t"/>
            </v:shape>
            <v:shape id="_x0000_s1039" alt="" style="position:absolute;left:4919;top:7428;width:336;height:738" coordorigin="4919,7429" coordsize="336,738" o:spt="100" adj="0,,0" path="m5014,7429r-95,31l5064,7896r-95,31l5206,8167r44,-303l5160,7864,5014,7429xm5255,7832r-95,32l5250,7864r5,-32xe" fillcolor="#497dba" stroked="f">
              <v:stroke joinstyle="round"/>
              <v:formulas/>
              <v:path arrowok="t" o:connecttype="segments"/>
            </v:shape>
            <v:shape id="_x0000_s1040" alt="" style="position:absolute;left:1352;top:6912;width:1081;height:541" coordorigin="1352,6913" coordsize="1081,541" path="m2342,6913r-899,l1407,6920r-29,19l1359,6968r-7,35l1352,7364r7,35l1378,7427r29,20l1443,7454r899,l2378,7447r28,-20l2425,7399r7,-35l2432,7003r-7,-35l2406,6939r-28,-19l2342,6913xe" fillcolor="#4f81bc" stroked="f">
              <v:path arrowok="t"/>
            </v:shape>
            <v:shape id="_x0000_s1041" alt="" style="position:absolute;left:1352;top:6912;width:1082;height:541" coordorigin="1352,6913" coordsize="1082,541" path="m1352,7003r7,-35l1378,6939r29,-19l1443,6913r899,l2378,6920r29,19l2427,6968r7,35l2434,7364r-7,35l2407,7427r-29,20l2342,7454r-899,l1407,7447r-29,-20l1359,7399r-7,-35l1352,7003xe" filled="f" strokecolor="#385d89" strokeweight=".69161mm">
              <v:path arrowok="t"/>
            </v:shape>
            <v:shape id="_x0000_s1042" alt="" style="position:absolute;left:1936;top:7401;width:3270;height:2029" coordorigin="1936,7401" coordsize="3270,2029" o:spt="100" adj="0,,0" path="m1989,7401r-53,86l4924,9315r-53,85l5206,9429,5082,9229r-106,l1989,7401xm5029,9144r-53,85l5082,9229r-53,-85xe" fillcolor="#497dba" stroked="f">
              <v:stroke joinstyle="round"/>
              <v:formulas/>
              <v:path arrowok="t" o:connecttype="segments"/>
            </v:shape>
            <v:shape id="_x0000_s1043" alt="" style="position:absolute;left:5196;top:12324;width:1082;height:541" coordorigin="5196,12325" coordsize="1082,541" path="m6187,12325r-899,l5252,12332r-29,19l5203,12379r-7,35l5196,12775r7,35l5223,12839r29,19l5288,12866r899,l6223,12858r29,-19l6271,12810r7,-35l6278,12414r-7,-35l6252,12351r-29,-19l6187,12325xe" fillcolor="#4f81bc" stroked="f">
              <v:path arrowok="t"/>
            </v:shape>
            <v:shape id="_x0000_s1044" alt="" style="position:absolute;left:5196;top:12324;width:1082;height:541" coordorigin="5196,12325" coordsize="1082,541" path="m5196,12414r7,-35l5223,12351r29,-19l5288,12325r899,l6223,12332r29,19l6271,12379r7,35l6278,12775r-7,35l6252,12839r-29,19l6187,12866r-899,l5252,12858r-29,-19l5203,12810r-7,-35l5196,12414xe" filled="f" strokecolor="#385d89" strokeweight=".69161mm">
              <v:path arrowok="t"/>
            </v:shape>
            <v:shape id="_x0000_s1045" alt="" style="position:absolute;left:4240;top:10350;width:2777;height:2006" coordorigin="4241,10351" coordsize="2777,2006" o:spt="100" adj="0,,0" path="m5252,12312l4442,10642r-21,-44l4511,10555r-266,-204l4241,10686r90,-44l5161,12356r91,-44m7018,10867r-1,-43l7009,10531r-263,209l6836,10782r-713,1532l6213,12356r715,-1532l7018,10867e" fillcolor="#497dba" stroked="f">
              <v:stroke joinstyle="round"/>
              <v:formulas/>
              <v:path arrowok="t" o:connecttype="segments"/>
            </v:shape>
            <v:shapetype id="_x0000_t202" coordsize="21600,21600" o:spt="202" path="m,l,21600r21600,l21600,xe">
              <v:stroke joinstyle="miter"/>
              <v:path gradientshapeok="t" o:connecttype="rect"/>
            </v:shapetype>
            <v:shape id="_x0000_s1046" type="#_x0000_t202" alt="" style="position:absolute;left:1559;top:7060;width:667;height:267;mso-wrap-style:square;v-text-anchor:top" filled="f" stroked="f">
              <v:textbox inset="0,0,0,0">
                <w:txbxContent>
                  <w:p w:rsidR="00880839" w:rsidRDefault="00120F6C">
                    <w:pPr>
                      <w:spacing w:line="266" w:lineRule="exact"/>
                      <w:rPr>
                        <w:sz w:val="24"/>
                      </w:rPr>
                    </w:pPr>
                    <w:r>
                      <w:rPr>
                        <w:color w:val="FFFFFF"/>
                        <w:sz w:val="24"/>
                      </w:rPr>
                      <w:t>CAS 6</w:t>
                    </w:r>
                  </w:p>
                </w:txbxContent>
              </v:textbox>
            </v:shape>
            <v:shape id="_x0000_s1047" type="#_x0000_t202" alt="" style="position:absolute;left:3001;top:7060;width:667;height:267;mso-wrap-style:square;v-text-anchor:top" filled="f" stroked="f">
              <v:textbox inset="0,0,0,0">
                <w:txbxContent>
                  <w:p w:rsidR="00880839" w:rsidRDefault="00120F6C">
                    <w:pPr>
                      <w:spacing w:line="266" w:lineRule="exact"/>
                      <w:rPr>
                        <w:sz w:val="24"/>
                      </w:rPr>
                    </w:pPr>
                    <w:r>
                      <w:rPr>
                        <w:color w:val="FFFFFF"/>
                        <w:sz w:val="24"/>
                      </w:rPr>
                      <w:t>CAS 3</w:t>
                    </w:r>
                  </w:p>
                </w:txbxContent>
              </v:textbox>
            </v:shape>
            <v:shape id="_x0000_s1048" type="#_x0000_t202" alt="" style="position:absolute;left:4683;top:7060;width:667;height:267;mso-wrap-style:square;v-text-anchor:top" filled="f" stroked="f">
              <v:textbox inset="0,0,0,0">
                <w:txbxContent>
                  <w:p w:rsidR="00880839" w:rsidRDefault="00120F6C">
                    <w:pPr>
                      <w:spacing w:line="266" w:lineRule="exact"/>
                      <w:rPr>
                        <w:sz w:val="24"/>
                      </w:rPr>
                    </w:pPr>
                    <w:r>
                      <w:rPr>
                        <w:color w:val="FFFFFF"/>
                        <w:sz w:val="24"/>
                      </w:rPr>
                      <w:t>CAS 4</w:t>
                    </w:r>
                  </w:p>
                </w:txbxContent>
              </v:textbox>
            </v:shape>
            <v:shape id="_x0000_s1049" type="#_x0000_t202" alt="" style="position:absolute;left:6265;top:7060;width:667;height:267;mso-wrap-style:square;v-text-anchor:top" filled="f" stroked="f">
              <v:textbox inset="0,0,0,0">
                <w:txbxContent>
                  <w:p w:rsidR="00880839" w:rsidRDefault="00120F6C">
                    <w:pPr>
                      <w:spacing w:line="266" w:lineRule="exact"/>
                      <w:rPr>
                        <w:sz w:val="24"/>
                      </w:rPr>
                    </w:pPr>
                    <w:r>
                      <w:rPr>
                        <w:color w:val="FFFFFF"/>
                        <w:sz w:val="24"/>
                      </w:rPr>
                      <w:t>CAS 2</w:t>
                    </w:r>
                  </w:p>
                </w:txbxContent>
              </v:textbox>
            </v:shape>
            <v:shape id="_x0000_s1050" type="#_x0000_t202" alt="" style="position:absolute;left:10550;top:7741;width:630;height:267;mso-wrap-style:square;v-text-anchor:top" filled="f" stroked="f">
              <v:textbox inset="0,0,0,0">
                <w:txbxContent>
                  <w:p w:rsidR="00880839" w:rsidRDefault="00120F6C">
                    <w:pPr>
                      <w:spacing w:line="266" w:lineRule="exact"/>
                      <w:rPr>
                        <w:sz w:val="24"/>
                      </w:rPr>
                    </w:pPr>
                    <w:r>
                      <w:rPr>
                        <w:color w:val="FFFFFF"/>
                      </w:rPr>
                      <w:t xml:space="preserve">CAS </w:t>
                    </w:r>
                    <w:r>
                      <w:rPr>
                        <w:color w:val="FFFFFF"/>
                        <w:sz w:val="24"/>
                      </w:rPr>
                      <w:t>1</w:t>
                    </w:r>
                  </w:p>
                </w:txbxContent>
              </v:textbox>
            </v:shape>
            <v:shape id="_x0000_s1051" type="#_x0000_t202" alt="" style="position:absolute;left:5424;top:12472;width:668;height:267;mso-wrap-style:square;v-text-anchor:top" filled="f" stroked="f">
              <v:textbox inset="0,0,0,0">
                <w:txbxContent>
                  <w:p w:rsidR="00880839" w:rsidRDefault="00120F6C">
                    <w:pPr>
                      <w:spacing w:line="266" w:lineRule="exact"/>
                      <w:rPr>
                        <w:sz w:val="24"/>
                      </w:rPr>
                    </w:pPr>
                    <w:r>
                      <w:rPr>
                        <w:color w:val="FFFFFF"/>
                        <w:sz w:val="24"/>
                      </w:rPr>
                      <w:t>CAS 5</w:t>
                    </w:r>
                  </w:p>
                </w:txbxContent>
              </v:textbox>
            </v:shape>
            <w10:wrap anchorx="page" anchory="page"/>
          </v:group>
        </w:pict>
      </w:r>
    </w:p>
    <w:p w:rsidR="00880839" w:rsidRDefault="00880839">
      <w:pPr>
        <w:pStyle w:val="Corpsdetexte"/>
        <w:spacing w:before="2"/>
        <w:rPr>
          <w:sz w:val="28"/>
        </w:rPr>
      </w:pPr>
    </w:p>
    <w:p w:rsidR="00880839" w:rsidRDefault="00120F6C">
      <w:pPr>
        <w:pStyle w:val="Titre4"/>
        <w:spacing w:before="91"/>
        <w:ind w:left="4056" w:right="4879"/>
        <w:jc w:val="center"/>
        <w:rPr>
          <w:rFonts w:ascii="Times New Roman"/>
        </w:rPr>
      </w:pPr>
      <w:r>
        <w:rPr>
          <w:rFonts w:ascii="Times New Roman"/>
        </w:rPr>
        <w:t>Annexe 1</w:t>
      </w:r>
    </w:p>
    <w:p w:rsidR="006F7DAC" w:rsidRPr="006F7DAC" w:rsidRDefault="006F7DAC" w:rsidP="006F7DAC"/>
    <w:p w:rsidR="006F7DAC" w:rsidRPr="006F7DAC" w:rsidRDefault="006F7DAC" w:rsidP="006F7DAC"/>
    <w:p w:rsidR="006F7DAC" w:rsidRPr="006F7DAC" w:rsidRDefault="006F7DAC" w:rsidP="006F7DAC"/>
    <w:p w:rsidR="006F7DAC" w:rsidRPr="006F7DAC" w:rsidRDefault="006F7DAC" w:rsidP="006F7DAC"/>
    <w:p w:rsidR="006F7DAC" w:rsidRPr="006F7DAC" w:rsidRDefault="006F7DAC" w:rsidP="006F7DAC"/>
    <w:p w:rsidR="006F7DAC" w:rsidRPr="006F7DAC" w:rsidRDefault="006F7DAC" w:rsidP="006F7DAC"/>
    <w:p w:rsidR="006F7DAC" w:rsidRPr="006F7DAC" w:rsidRDefault="006F7DAC" w:rsidP="006F7DAC"/>
    <w:p w:rsidR="006F7DAC" w:rsidRPr="006F7DAC" w:rsidRDefault="006F7DAC" w:rsidP="006F7DAC"/>
    <w:p w:rsidR="006F7DAC" w:rsidRPr="006F7DAC" w:rsidRDefault="006F7DAC" w:rsidP="006F7DAC"/>
    <w:p w:rsidR="006F7DAC" w:rsidRPr="006F7DAC" w:rsidRDefault="006F7DAC" w:rsidP="006F7DAC"/>
    <w:p w:rsidR="006F7DAC" w:rsidRPr="006F7DAC" w:rsidRDefault="006F7DAC" w:rsidP="006F7DAC"/>
    <w:p w:rsidR="006F7DAC" w:rsidRPr="006F7DAC" w:rsidRDefault="006F7DAC" w:rsidP="006F7DAC"/>
    <w:p w:rsidR="006F7DAC" w:rsidRPr="006F7DAC" w:rsidRDefault="006F7DAC" w:rsidP="006F7DAC"/>
    <w:p w:rsidR="006F7DAC" w:rsidRPr="006F7DAC" w:rsidRDefault="006F7DAC" w:rsidP="006F7DAC"/>
    <w:p w:rsidR="006F7DAC" w:rsidRDefault="006F7DAC" w:rsidP="006F7DAC">
      <w:pPr>
        <w:rPr>
          <w:rFonts w:eastAsia="Arial" w:hAnsi="Arial" w:cs="Arial"/>
          <w:b/>
          <w:bCs/>
        </w:rPr>
      </w:pPr>
    </w:p>
    <w:p w:rsidR="006F7DAC" w:rsidRDefault="006F7DAC" w:rsidP="006F7DAC">
      <w:pPr>
        <w:rPr>
          <w:rFonts w:eastAsia="Arial" w:hAnsi="Arial" w:cs="Arial"/>
          <w:b/>
          <w:bCs/>
        </w:rPr>
      </w:pPr>
    </w:p>
    <w:p w:rsidR="006F7DAC" w:rsidRPr="006F7DAC" w:rsidRDefault="006F7DAC" w:rsidP="006F7DAC">
      <w:bookmarkStart w:id="0" w:name="_GoBack"/>
      <w:bookmarkEnd w:id="0"/>
    </w:p>
    <w:sectPr w:rsidR="006F7DAC" w:rsidRPr="006F7DAC">
      <w:pgSz w:w="11910" w:h="16840"/>
      <w:pgMar w:top="1580" w:right="620" w:bottom="3040" w:left="1440" w:header="0" w:footer="284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20F6C" w:rsidRDefault="00120F6C">
      <w:r>
        <w:separator/>
      </w:r>
    </w:p>
  </w:endnote>
  <w:endnote w:type="continuationSeparator" w:id="0">
    <w:p w:rsidR="00120F6C" w:rsidRDefault="00120F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Arial-BoldItalicMT">
    <w:altName w:val="Arial"/>
    <w:panose1 w:val="020B0604020202020204"/>
    <w:charset w:val="00"/>
    <w:family w:val="swiss"/>
    <w:pitch w:val="variable"/>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80839" w:rsidRDefault="00120F6C">
    <w:pPr>
      <w:pStyle w:val="Corpsdetexte"/>
      <w:spacing w:line="14" w:lineRule="auto"/>
      <w:rPr>
        <w:sz w:val="20"/>
      </w:rPr>
    </w:pPr>
    <w:r>
      <w:pict>
        <v:shapetype id="_x0000_t202" coordsize="21600,21600" o:spt="202" path="m,l,21600r21600,l21600,xe">
          <v:stroke joinstyle="miter"/>
          <v:path gradientshapeok="t" o:connecttype="rect"/>
        </v:shapetype>
        <v:shape id="_x0000_s2050" type="#_x0000_t202" alt="" style="position:absolute;margin-left:104.2pt;margin-top:688.8pt;width:8.5pt;height:11pt;z-index:-7144;mso-wrap-style:square;mso-wrap-edited:f;mso-width-percent:0;mso-height-percent:0;mso-position-horizontal-relative:page;mso-position-vertical-relative:page;mso-width-percent:0;mso-height-percent:0;v-text-anchor:top" filled="f" stroked="f">
          <v:textbox inset="0,0,0,0">
            <w:txbxContent>
              <w:p w:rsidR="00880839" w:rsidRDefault="00120F6C">
                <w:pPr>
                  <w:spacing w:before="15"/>
                  <w:ind w:left="40"/>
                  <w:rPr>
                    <w:rFonts w:ascii="Arial"/>
                    <w:b/>
                    <w:sz w:val="16"/>
                  </w:rPr>
                </w:pPr>
                <w:r>
                  <w:fldChar w:fldCharType="begin"/>
                </w:r>
                <w:r>
                  <w:rPr>
                    <w:rFonts w:ascii="Arial"/>
                    <w:b/>
                    <w:sz w:val="16"/>
                  </w:rPr>
                  <w:instrText xml:space="preserve"> PAGE </w:instrText>
                </w:r>
                <w:r>
                  <w:fldChar w:fldCharType="separate"/>
                </w:r>
                <w:r>
                  <w:t>2</w:t>
                </w:r>
                <w:r>
                  <w:fldChar w:fldCharType="end"/>
                </w:r>
              </w:p>
            </w:txbxContent>
          </v:textbox>
          <w10:wrap anchorx="page" anchory="page"/>
        </v:shape>
      </w:pic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80839" w:rsidRDefault="00120F6C">
    <w:pPr>
      <w:pStyle w:val="Corpsdetexte"/>
      <w:spacing w:line="14" w:lineRule="auto"/>
      <w:rPr>
        <w:sz w:val="20"/>
      </w:rPr>
    </w:pPr>
    <w:r>
      <w:pict>
        <v:shapetype id="_x0000_t202" coordsize="21600,21600" o:spt="202" path="m,l,21600r21600,l21600,xe">
          <v:stroke joinstyle="miter"/>
          <v:path gradientshapeok="t" o:connecttype="rect"/>
        </v:shapetype>
        <v:shape id="_x0000_s2049" type="#_x0000_t202" alt="" style="position:absolute;margin-left:482.65pt;margin-top:688.8pt;width:8.5pt;height:11pt;z-index:-7120;mso-wrap-style:square;mso-wrap-edited:f;mso-width-percent:0;mso-height-percent:0;mso-position-horizontal-relative:page;mso-position-vertical-relative:page;mso-width-percent:0;mso-height-percent:0;v-text-anchor:top" filled="f" stroked="f">
          <v:textbox inset="0,0,0,0">
            <w:txbxContent>
              <w:p w:rsidR="00880839" w:rsidRDefault="00120F6C">
                <w:pPr>
                  <w:spacing w:before="15"/>
                  <w:ind w:left="40"/>
                  <w:rPr>
                    <w:rFonts w:ascii="Arial"/>
                    <w:b/>
                    <w:sz w:val="16"/>
                  </w:rPr>
                </w:pPr>
                <w:r>
                  <w:fldChar w:fldCharType="begin"/>
                </w:r>
                <w:r>
                  <w:rPr>
                    <w:rFonts w:ascii="Arial"/>
                    <w:b/>
                    <w:sz w:val="16"/>
                  </w:rPr>
                  <w:instrText xml:space="preserve"> PAGE </w:instrText>
                </w:r>
                <w:r>
                  <w:fldChar w:fldCharType="separate"/>
                </w:r>
                <w:r>
                  <w:t>3</w:t>
                </w:r>
                <w: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20F6C" w:rsidRDefault="00120F6C">
      <w:r>
        <w:separator/>
      </w:r>
    </w:p>
  </w:footnote>
  <w:footnote w:type="continuationSeparator" w:id="0">
    <w:p w:rsidR="00120F6C" w:rsidRDefault="00120F6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0"/>
  <w:proofState w:spelling="clean" w:grammar="clean"/>
  <w:defaultTabStop w:val="720"/>
  <w:hyphenationZone w:val="425"/>
  <w:evenAndOddHeaders/>
  <w:drawingGridHorizontalSpacing w:val="110"/>
  <w:displayHorizontalDrawingGridEvery w:val="2"/>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2"/>
    <w:compatSetting w:name="useWord2013TrackBottomHyphenation" w:uri="http://schemas.microsoft.com/office/word" w:val="1"/>
  </w:compat>
  <w:rsids>
    <w:rsidRoot w:val="00880839"/>
    <w:rsid w:val="00120F6C"/>
    <w:rsid w:val="00191DE7"/>
    <w:rsid w:val="006F7DAC"/>
    <w:rsid w:val="00880839"/>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3D9845D6"/>
  <w15:docId w15:val="{3AEDE27A-E9F9-1447-92C6-5232AE3BD3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fr-FR" w:eastAsia="fr-FR" w:bidi="fr-FR"/>
    </w:rPr>
  </w:style>
  <w:style w:type="paragraph" w:styleId="Titre1">
    <w:name w:val="heading 1"/>
    <w:basedOn w:val="Normal"/>
    <w:uiPriority w:val="9"/>
    <w:qFormat/>
    <w:pPr>
      <w:spacing w:before="5"/>
      <w:ind w:left="1079"/>
      <w:outlineLvl w:val="0"/>
    </w:pPr>
    <w:rPr>
      <w:rFonts w:ascii="Arial" w:eastAsia="Arial" w:hAnsi="Arial" w:cs="Arial"/>
      <w:b/>
      <w:bCs/>
      <w:sz w:val="34"/>
      <w:szCs w:val="34"/>
    </w:rPr>
  </w:style>
  <w:style w:type="paragraph" w:styleId="Titre2">
    <w:name w:val="heading 2"/>
    <w:basedOn w:val="Normal"/>
    <w:uiPriority w:val="9"/>
    <w:unhideWhenUsed/>
    <w:qFormat/>
    <w:pPr>
      <w:spacing w:line="287" w:lineRule="exact"/>
      <w:ind w:left="2152"/>
      <w:outlineLvl w:val="1"/>
    </w:pPr>
    <w:rPr>
      <w:rFonts w:ascii="Arial" w:eastAsia="Arial" w:hAnsi="Arial" w:cs="Arial"/>
      <w:i/>
      <w:sz w:val="29"/>
      <w:szCs w:val="29"/>
    </w:rPr>
  </w:style>
  <w:style w:type="paragraph" w:styleId="Titre3">
    <w:name w:val="heading 3"/>
    <w:basedOn w:val="Normal"/>
    <w:uiPriority w:val="9"/>
    <w:unhideWhenUsed/>
    <w:qFormat/>
    <w:pPr>
      <w:ind w:left="1536"/>
      <w:outlineLvl w:val="2"/>
    </w:pPr>
    <w:rPr>
      <w:rFonts w:ascii="Arial" w:eastAsia="Arial" w:hAnsi="Arial" w:cs="Arial"/>
      <w:b/>
      <w:bCs/>
      <w:sz w:val="28"/>
      <w:szCs w:val="28"/>
    </w:rPr>
  </w:style>
  <w:style w:type="paragraph" w:styleId="Titre4">
    <w:name w:val="heading 4"/>
    <w:basedOn w:val="Normal"/>
    <w:uiPriority w:val="9"/>
    <w:unhideWhenUsed/>
    <w:qFormat/>
    <w:pPr>
      <w:ind w:left="1536"/>
      <w:outlineLvl w:val="3"/>
    </w:pPr>
    <w:rPr>
      <w:rFonts w:ascii="Arial" w:eastAsia="Arial" w:hAnsi="Arial" w:cs="Arial"/>
      <w:b/>
      <w:b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uiPriority w:val="1"/>
    <w:qFormat/>
  </w:style>
  <w:style w:type="paragraph" w:styleId="Paragraphedeliste">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2344</Words>
  <Characters>12898</Characters>
  <Application>Microsoft Office Word</Application>
  <DocSecurity>0</DocSecurity>
  <Lines>107</Lines>
  <Paragraphs>30</Paragraphs>
  <ScaleCrop>false</ScaleCrop>
  <Company/>
  <LinksUpToDate>false</LinksUpToDate>
  <CharactersWithSpaces>15212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Corinne Marlot</cp:lastModifiedBy>
  <cp:revision>3</cp:revision>
  <dcterms:created xsi:type="dcterms:W3CDTF">2019-10-21T13:43:00Z</dcterms:created>
  <dcterms:modified xsi:type="dcterms:W3CDTF">2019-10-21T13:44:00Z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2017-11-12T00:00:00Z</vt:filetime>
  </property>
  <property fmtid="{D5CDD505-2E9C-101B-9397-08002B2CF9AE}" pid="3" name="Creator">
    <vt:lpwstr>Microsoft® Office Word 2007</vt:lpwstr>
  </property>
  <property fmtid="{D5CDD505-2E9C-101B-9397-08002B2CF9AE}" pid="4" name="LastSaved">
    <vt:filetime>2019-10-21T00:00:00Z</vt:filetime>
  </property>
</Properties>
</file>