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43FB08" w14:textId="77777777" w:rsidR="007A157B" w:rsidRDefault="007A157B" w:rsidP="008E39BB">
      <w:pPr>
        <w:jc w:val="both"/>
      </w:pPr>
    </w:p>
    <w:p w14:paraId="71025990" w14:textId="77777777" w:rsidR="001951B4" w:rsidRDefault="001951B4" w:rsidP="008E39BB">
      <w:pPr>
        <w:jc w:val="both"/>
      </w:pPr>
    </w:p>
    <w:p w14:paraId="0232EC97" w14:textId="7693A5C4" w:rsidR="001951B4" w:rsidRPr="001951B4" w:rsidRDefault="001951B4" w:rsidP="008E39BB">
      <w:pPr>
        <w:jc w:val="both"/>
        <w:rPr>
          <w:b/>
        </w:rPr>
      </w:pPr>
      <w:r w:rsidRPr="001951B4">
        <w:rPr>
          <w:b/>
        </w:rPr>
        <w:t xml:space="preserve">Co-construire un objet scolaire pour instituer une pratique scientifique </w:t>
      </w:r>
      <w:r w:rsidR="00A76984">
        <w:rPr>
          <w:b/>
        </w:rPr>
        <w:t>avec les jeunes élèves</w:t>
      </w:r>
      <w:r w:rsidRPr="001951B4">
        <w:rPr>
          <w:b/>
        </w:rPr>
        <w:t xml:space="preserve"> </w:t>
      </w:r>
    </w:p>
    <w:p w14:paraId="76AB1952" w14:textId="77777777" w:rsidR="001951B4" w:rsidRDefault="001951B4" w:rsidP="008E39BB">
      <w:pPr>
        <w:jc w:val="both"/>
      </w:pPr>
    </w:p>
    <w:p w14:paraId="1CF74F09" w14:textId="118763E8" w:rsidR="001951B4" w:rsidRPr="008E39BB" w:rsidRDefault="001951B4" w:rsidP="008E39BB">
      <w:pPr>
        <w:jc w:val="both"/>
        <w:rPr>
          <w:i/>
          <w:sz w:val="21"/>
          <w:lang w:val="en-US"/>
        </w:rPr>
      </w:pPr>
      <w:r w:rsidRPr="008E39BB">
        <w:rPr>
          <w:i/>
          <w:sz w:val="21"/>
          <w:lang w:val="en-US"/>
        </w:rPr>
        <w:t xml:space="preserve">Corinne </w:t>
      </w:r>
      <w:proofErr w:type="spellStart"/>
      <w:r w:rsidRPr="008E39BB">
        <w:rPr>
          <w:i/>
          <w:sz w:val="21"/>
          <w:lang w:val="en-US"/>
        </w:rPr>
        <w:t>Marlot</w:t>
      </w:r>
      <w:proofErr w:type="spellEnd"/>
      <w:r w:rsidRPr="008E39BB">
        <w:rPr>
          <w:i/>
          <w:sz w:val="21"/>
          <w:lang w:val="en-US"/>
        </w:rPr>
        <w:t xml:space="preserve"> HEP VD</w:t>
      </w:r>
      <w:r w:rsidR="00DD19D3">
        <w:rPr>
          <w:i/>
          <w:sz w:val="21"/>
          <w:lang w:val="en-US"/>
        </w:rPr>
        <w:t>, CH</w:t>
      </w:r>
      <w:r w:rsidR="008E39BB" w:rsidRPr="008E39BB">
        <w:rPr>
          <w:i/>
          <w:sz w:val="21"/>
          <w:lang w:val="en-US"/>
        </w:rPr>
        <w:t xml:space="preserve"> ; </w:t>
      </w:r>
      <w:r w:rsidRPr="008E39BB">
        <w:rPr>
          <w:i/>
          <w:sz w:val="21"/>
          <w:lang w:val="en-US"/>
        </w:rPr>
        <w:t>Patrick Roy HEP FR</w:t>
      </w:r>
      <w:r w:rsidR="00DD19D3">
        <w:rPr>
          <w:i/>
          <w:sz w:val="21"/>
          <w:lang w:val="en-US"/>
        </w:rPr>
        <w:t>, CH</w:t>
      </w:r>
      <w:r w:rsidR="008E39BB" w:rsidRPr="008E39BB">
        <w:rPr>
          <w:i/>
          <w:sz w:val="21"/>
          <w:lang w:val="en-US"/>
        </w:rPr>
        <w:t> ;</w:t>
      </w:r>
      <w:r w:rsidR="008E39BB">
        <w:rPr>
          <w:i/>
          <w:sz w:val="21"/>
          <w:lang w:val="en-US"/>
        </w:rPr>
        <w:t xml:space="preserve"> </w:t>
      </w:r>
      <w:r w:rsidRPr="008E39BB">
        <w:rPr>
          <w:i/>
          <w:sz w:val="21"/>
          <w:lang w:val="en-US"/>
        </w:rPr>
        <w:t xml:space="preserve">Christine </w:t>
      </w:r>
      <w:proofErr w:type="spellStart"/>
      <w:r w:rsidRPr="008E39BB">
        <w:rPr>
          <w:i/>
          <w:sz w:val="21"/>
          <w:lang w:val="en-US"/>
        </w:rPr>
        <w:t>Riat</w:t>
      </w:r>
      <w:proofErr w:type="spellEnd"/>
      <w:r w:rsidRPr="008E39BB">
        <w:rPr>
          <w:i/>
          <w:sz w:val="21"/>
          <w:lang w:val="en-US"/>
        </w:rPr>
        <w:t xml:space="preserve"> HEP BEJUNE</w:t>
      </w:r>
      <w:r w:rsidR="00DD19D3">
        <w:rPr>
          <w:i/>
          <w:sz w:val="21"/>
          <w:lang w:val="en-US"/>
        </w:rPr>
        <w:t>, CH</w:t>
      </w:r>
      <w:r w:rsidR="008E39BB">
        <w:rPr>
          <w:i/>
          <w:sz w:val="21"/>
          <w:lang w:val="en-US"/>
        </w:rPr>
        <w:t xml:space="preserve">; </w:t>
      </w:r>
      <w:r w:rsidRPr="008E39BB">
        <w:rPr>
          <w:i/>
          <w:sz w:val="21"/>
          <w:lang w:val="en-US"/>
        </w:rPr>
        <w:t xml:space="preserve">Florence </w:t>
      </w:r>
      <w:proofErr w:type="spellStart"/>
      <w:r w:rsidRPr="008E39BB">
        <w:rPr>
          <w:i/>
          <w:sz w:val="21"/>
          <w:lang w:val="en-US"/>
        </w:rPr>
        <w:t>Ligozat</w:t>
      </w:r>
      <w:proofErr w:type="spellEnd"/>
      <w:r w:rsidRPr="008E39BB">
        <w:rPr>
          <w:i/>
          <w:sz w:val="21"/>
          <w:lang w:val="en-US"/>
        </w:rPr>
        <w:t xml:space="preserve"> UNIGE</w:t>
      </w:r>
      <w:r w:rsidR="00DD19D3">
        <w:rPr>
          <w:i/>
          <w:sz w:val="21"/>
          <w:lang w:val="en-US"/>
        </w:rPr>
        <w:t>, CH.</w:t>
      </w:r>
      <w:bookmarkStart w:id="0" w:name="_GoBack"/>
      <w:bookmarkEnd w:id="0"/>
    </w:p>
    <w:p w14:paraId="569FDA92" w14:textId="77777777" w:rsidR="001951B4" w:rsidRPr="008E39BB" w:rsidRDefault="001951B4" w:rsidP="008E39BB">
      <w:pPr>
        <w:jc w:val="both"/>
        <w:rPr>
          <w:lang w:val="en-US"/>
        </w:rPr>
      </w:pPr>
    </w:p>
    <w:p w14:paraId="28AD315D" w14:textId="77777777" w:rsidR="009B471D" w:rsidRPr="0009009A" w:rsidRDefault="009B471D" w:rsidP="009B471D">
      <w:pPr>
        <w:jc w:val="both"/>
        <w:rPr>
          <w:color w:val="4472C4" w:themeColor="accent1"/>
        </w:rPr>
      </w:pPr>
      <w:r w:rsidRPr="0009009A">
        <w:rPr>
          <w:color w:val="4472C4" w:themeColor="accent1"/>
        </w:rPr>
        <w:t xml:space="preserve">Questions </w:t>
      </w:r>
    </w:p>
    <w:p w14:paraId="174B8ACA" w14:textId="3F38FCAB" w:rsidR="009B471D" w:rsidRDefault="009B471D" w:rsidP="009B471D">
      <w:pPr>
        <w:jc w:val="both"/>
      </w:pPr>
      <w:r>
        <w:t xml:space="preserve">Cette contribution s’intéresse aux </w:t>
      </w:r>
      <w:r w:rsidRPr="004F0A2F">
        <w:t>modalités d’entrée dans la culture scientifique des jeunes élèves</w:t>
      </w:r>
      <w:r>
        <w:t>. Cette acculturation peut s’envisager comme un apprentissage</w:t>
      </w:r>
      <w:r w:rsidRPr="004F0A2F">
        <w:t xml:space="preserve"> dans l’usage, de manières de penser</w:t>
      </w:r>
      <w:r w:rsidR="00CA33EE">
        <w:t xml:space="preserve">, </w:t>
      </w:r>
      <w:r w:rsidRPr="004F0A2F">
        <w:t xml:space="preserve">parler, lire, écrire et agir dans le cadre d’une </w:t>
      </w:r>
      <w:r w:rsidRPr="00776FF9">
        <w:rPr>
          <w:bCs/>
        </w:rPr>
        <w:t xml:space="preserve">communauté discursive disciplinaire scolaire </w:t>
      </w:r>
      <w:r w:rsidRPr="004F0A2F">
        <w:t>(</w:t>
      </w:r>
      <w:proofErr w:type="spellStart"/>
      <w:r w:rsidRPr="004F0A2F">
        <w:t>Bernié</w:t>
      </w:r>
      <w:proofErr w:type="spellEnd"/>
      <w:r w:rsidRPr="004F0A2F">
        <w:t>, 2002)</w:t>
      </w:r>
      <w:r>
        <w:t xml:space="preserve">. </w:t>
      </w:r>
      <w:r w:rsidRPr="008974D3">
        <w:t>Ainsi</w:t>
      </w:r>
      <w:r>
        <w:t>,</w:t>
      </w:r>
      <w:r w:rsidRPr="008974D3">
        <w:t xml:space="preserve"> de notre point de vue, entrer dans la culture scientifique, c’</w:t>
      </w:r>
      <w:proofErr w:type="spellStart"/>
      <w:r w:rsidRPr="008974D3">
        <w:t>est</w:t>
      </w:r>
      <w:proofErr w:type="spellEnd"/>
      <w:r w:rsidRPr="008974D3">
        <w:t xml:space="preserve"> s’approprier un ensemble de pratiques qui visent à comprendre le fonctionnement du monde qui nous entoure, pour mieux déployer ses propres actions dans ce monde, à la fois au plan individuel et au plan collectif. Cet ensemble de pratiques repose sur des manipulations d’objets matériels, symboliques et langagiers qui s’organisent selon une grammaire propre à l’enquête scientifique</w:t>
      </w:r>
      <w:r>
        <w:t xml:space="preserve">. </w:t>
      </w:r>
    </w:p>
    <w:p w14:paraId="48181E3B" w14:textId="77777777" w:rsidR="009B471D" w:rsidRDefault="009B471D" w:rsidP="009B471D">
      <w:pPr>
        <w:jc w:val="both"/>
      </w:pPr>
      <w:r>
        <w:t>Q</w:t>
      </w:r>
      <w:r w:rsidRPr="008974D3">
        <w:t>uels</w:t>
      </w:r>
      <w:r>
        <w:t xml:space="preserve"> sont alors les</w:t>
      </w:r>
      <w:r w:rsidRPr="008974D3">
        <w:t xml:space="preserve"> types d’objets</w:t>
      </w:r>
      <w:r>
        <w:t xml:space="preserve"> qui</w:t>
      </w:r>
      <w:r w:rsidRPr="008974D3">
        <w:t xml:space="preserve"> sont convoqués dans les premiers enseignements scientifiques, et comment les élèves sont</w:t>
      </w:r>
      <w:r>
        <w:t>-ils</w:t>
      </w:r>
      <w:r w:rsidRPr="008974D3">
        <w:t xml:space="preserve"> amenés à construire un rapport propre à l’enquête scientifique</w:t>
      </w:r>
      <w:r>
        <w:t xml:space="preserve"> ?</w:t>
      </w:r>
      <w:r w:rsidRPr="008974D3">
        <w:t xml:space="preserve"> Le processus de double sémiotisation (</w:t>
      </w:r>
      <w:proofErr w:type="spellStart"/>
      <w:r w:rsidRPr="008974D3">
        <w:t>Schneuwly</w:t>
      </w:r>
      <w:proofErr w:type="spellEnd"/>
      <w:r w:rsidRPr="008974D3">
        <w:t xml:space="preserve">, 2000), qui caractérise l’articulation entre la présentation des savoirs en jeu et la focalisation de l’attention des élèves sur les dimensions essentielles de ces savoirs, nous semble un bon candidat </w:t>
      </w:r>
      <w:r>
        <w:t xml:space="preserve">pour comprendre comment, au travers de la mobilisation d’objets plus ou moins scolaires, s’organise cette focalisation et s’institue une pratique scientifique. </w:t>
      </w:r>
    </w:p>
    <w:p w14:paraId="604C95C6" w14:textId="77777777" w:rsidR="009B471D" w:rsidRDefault="009B471D" w:rsidP="009B471D">
      <w:pPr>
        <w:jc w:val="both"/>
        <w:rPr>
          <w:color w:val="4472C4" w:themeColor="accent1"/>
        </w:rPr>
      </w:pPr>
    </w:p>
    <w:p w14:paraId="751AACAF" w14:textId="77777777" w:rsidR="009B471D" w:rsidRPr="0009009A" w:rsidRDefault="009B471D" w:rsidP="009B471D">
      <w:pPr>
        <w:jc w:val="both"/>
        <w:rPr>
          <w:color w:val="4472C4" w:themeColor="accent1"/>
        </w:rPr>
      </w:pPr>
      <w:r w:rsidRPr="0009009A">
        <w:rPr>
          <w:color w:val="4472C4" w:themeColor="accent1"/>
        </w:rPr>
        <w:t>Corpus et méthodo</w:t>
      </w:r>
      <w:r>
        <w:rPr>
          <w:color w:val="4472C4" w:themeColor="accent1"/>
        </w:rPr>
        <w:t>logie</w:t>
      </w:r>
    </w:p>
    <w:p w14:paraId="1B5FBB06" w14:textId="77777777" w:rsidR="009B471D" w:rsidRDefault="009B471D" w:rsidP="009B471D">
      <w:pPr>
        <w:jc w:val="both"/>
        <w:rPr>
          <w:color w:val="000000" w:themeColor="text1"/>
        </w:rPr>
      </w:pPr>
      <w:r>
        <w:t>Nous exposons les résultats de l’analyse d’une séquence d’enseignement dont l’objectif consiste à</w:t>
      </w:r>
      <w:r>
        <w:rPr>
          <w:color w:val="000000" w:themeColor="text1"/>
        </w:rPr>
        <w:t xml:space="preserve"> </w:t>
      </w:r>
      <w:r w:rsidRPr="004F0A2F">
        <w:rPr>
          <w:color w:val="000000" w:themeColor="text1"/>
        </w:rPr>
        <w:t>caractérise</w:t>
      </w:r>
      <w:r>
        <w:rPr>
          <w:color w:val="000000" w:themeColor="text1"/>
        </w:rPr>
        <w:t>r</w:t>
      </w:r>
      <w:r w:rsidRPr="004F0A2F">
        <w:rPr>
          <w:color w:val="000000" w:themeColor="text1"/>
        </w:rPr>
        <w:t xml:space="preserve"> le vivant par </w:t>
      </w:r>
      <w:r>
        <w:rPr>
          <w:color w:val="000000" w:themeColor="text1"/>
        </w:rPr>
        <w:t xml:space="preserve">l’une de </w:t>
      </w:r>
      <w:r w:rsidRPr="004F0A2F">
        <w:rPr>
          <w:color w:val="000000" w:themeColor="text1"/>
        </w:rPr>
        <w:t>ses fonctions</w:t>
      </w:r>
      <w:r>
        <w:rPr>
          <w:color w:val="000000" w:themeColor="text1"/>
        </w:rPr>
        <w:t xml:space="preserve">, la croissance. Les séances ont été filmées et analysées en croisant des outils de la didactique des sciences (évolution du statut des objets selon les moments de la démarche scientifique : </w:t>
      </w:r>
      <w:proofErr w:type="spellStart"/>
      <w:r>
        <w:rPr>
          <w:color w:val="000000" w:themeColor="text1"/>
        </w:rPr>
        <w:t>Bisault</w:t>
      </w:r>
      <w:proofErr w:type="spellEnd"/>
      <w:r>
        <w:rPr>
          <w:color w:val="000000" w:themeColor="text1"/>
        </w:rPr>
        <w:t xml:space="preserve"> et Rebiffé, 2011 et selon la théorie des 2 mondes </w:t>
      </w:r>
      <w:r w:rsidRPr="007C37EB">
        <w:rPr>
          <w:color w:val="000000" w:themeColor="text1"/>
        </w:rPr>
        <w:t>: Tiberghien &amp; Vince, 2005</w:t>
      </w:r>
      <w:r>
        <w:rPr>
          <w:color w:val="000000" w:themeColor="text1"/>
        </w:rPr>
        <w:t xml:space="preserve">) et des outils de la didactique comparée (postures et configurations </w:t>
      </w:r>
      <w:proofErr w:type="spellStart"/>
      <w:r>
        <w:rPr>
          <w:color w:val="000000" w:themeColor="text1"/>
        </w:rPr>
        <w:t>topogénétiques</w:t>
      </w:r>
      <w:proofErr w:type="spellEnd"/>
      <w:r>
        <w:rPr>
          <w:color w:val="000000" w:themeColor="text1"/>
        </w:rPr>
        <w:t xml:space="preserve"> : </w:t>
      </w:r>
      <w:proofErr w:type="spellStart"/>
      <w:r>
        <w:rPr>
          <w:color w:val="000000" w:themeColor="text1"/>
        </w:rPr>
        <w:t>Riat</w:t>
      </w:r>
      <w:proofErr w:type="spellEnd"/>
      <w:r>
        <w:rPr>
          <w:color w:val="000000" w:themeColor="text1"/>
        </w:rPr>
        <w:t xml:space="preserve"> 2017 ; </w:t>
      </w:r>
      <w:proofErr w:type="spellStart"/>
      <w:r>
        <w:rPr>
          <w:color w:val="000000" w:themeColor="text1"/>
        </w:rPr>
        <w:t>Marlot</w:t>
      </w:r>
      <w:proofErr w:type="spellEnd"/>
      <w:r>
        <w:rPr>
          <w:color w:val="000000" w:themeColor="text1"/>
        </w:rPr>
        <w:t xml:space="preserve">, 2014 ; </w:t>
      </w:r>
      <w:proofErr w:type="spellStart"/>
      <w:r>
        <w:rPr>
          <w:color w:val="000000" w:themeColor="text1"/>
        </w:rPr>
        <w:t>Ligozat</w:t>
      </w:r>
      <w:proofErr w:type="spellEnd"/>
      <w:r>
        <w:rPr>
          <w:color w:val="000000" w:themeColor="text1"/>
        </w:rPr>
        <w:t xml:space="preserve"> 2015). L’analyse didactique nous a permis de repérer un objet particulier sur lequel se focalise l’attention des élèves et de l’enseignant : il s’agit de l’affiche décrivant le protocole expérimental, permettant de cristalliser un moment charnière de l’activité scientifique, celui de la planification en tant que phase de transition entre la problématisation et l’investigation proprement dite. Ce système sémiotique </w:t>
      </w:r>
      <w:proofErr w:type="spellStart"/>
      <w:r>
        <w:rPr>
          <w:color w:val="000000" w:themeColor="text1"/>
        </w:rPr>
        <w:t>co</w:t>
      </w:r>
      <w:proofErr w:type="spellEnd"/>
      <w:r>
        <w:rPr>
          <w:color w:val="000000" w:themeColor="text1"/>
        </w:rPr>
        <w:t xml:space="preserve">-construit va organiser le partage des responsabilités entre élèves et enseignant, d’une part et la possibilité d’un raisonnement scientifique à propos des besoins des végétaux, d’autre part. L’analyse </w:t>
      </w:r>
      <w:proofErr w:type="spellStart"/>
      <w:r>
        <w:rPr>
          <w:color w:val="000000" w:themeColor="text1"/>
        </w:rPr>
        <w:t>topogénétique</w:t>
      </w:r>
      <w:proofErr w:type="spellEnd"/>
      <w:r>
        <w:rPr>
          <w:color w:val="000000" w:themeColor="text1"/>
        </w:rPr>
        <w:t xml:space="preserve"> des actions didactiques, sur les plans langagiers, gestuels et matériels, nous permet de comprendre le rôle de cet objet comme (1) objet-allié des élèves favorisant une anticipation au sein de l’enquête scientifique et (2) objet-passeur en tant qu’objet emblématique d’une pratique scientifique. </w:t>
      </w:r>
    </w:p>
    <w:p w14:paraId="42969BFD" w14:textId="77777777" w:rsidR="009B471D" w:rsidRDefault="009B471D" w:rsidP="009B471D">
      <w:pPr>
        <w:jc w:val="both"/>
        <w:rPr>
          <w:color w:val="000000" w:themeColor="text1"/>
        </w:rPr>
      </w:pPr>
      <w:r>
        <w:rPr>
          <w:color w:val="000000" w:themeColor="text1"/>
        </w:rPr>
        <w:t xml:space="preserve">Cette contribution </w:t>
      </w:r>
      <w:r w:rsidRPr="008E39BB">
        <w:rPr>
          <w:color w:val="000000" w:themeColor="text1"/>
        </w:rPr>
        <w:t>s’inscrit dans l’axe 1</w:t>
      </w:r>
      <w:r>
        <w:rPr>
          <w:color w:val="000000" w:themeColor="text1"/>
        </w:rPr>
        <w:t xml:space="preserve"> et</w:t>
      </w:r>
      <w:r w:rsidRPr="008E39BB">
        <w:rPr>
          <w:color w:val="000000" w:themeColor="text1"/>
        </w:rPr>
        <w:t xml:space="preserve"> aborde la construction de l’objet « affiche du protocole </w:t>
      </w:r>
      <w:r>
        <w:rPr>
          <w:color w:val="000000" w:themeColor="text1"/>
        </w:rPr>
        <w:t xml:space="preserve">expérimental » selon des modalités discursives qui vont fonder son usage ; ce qui relève de l’axe 2. </w:t>
      </w:r>
    </w:p>
    <w:p w14:paraId="26EB0557" w14:textId="77777777" w:rsidR="009B471D" w:rsidRDefault="009B471D" w:rsidP="009B471D"/>
    <w:p w14:paraId="136E2682" w14:textId="77777777" w:rsidR="00CD4913" w:rsidRDefault="00CD4913" w:rsidP="008E39BB">
      <w:pPr>
        <w:jc w:val="both"/>
        <w:rPr>
          <w:color w:val="000000" w:themeColor="text1"/>
        </w:rPr>
      </w:pPr>
    </w:p>
    <w:p w14:paraId="03C7F849" w14:textId="2AE46894" w:rsidR="0009009A" w:rsidRPr="008E39BB" w:rsidRDefault="008E39BB" w:rsidP="008E39BB">
      <w:pPr>
        <w:jc w:val="both"/>
        <w:rPr>
          <w:color w:val="000000" w:themeColor="text1"/>
        </w:rPr>
      </w:pPr>
      <w:proofErr w:type="spellStart"/>
      <w:r w:rsidRPr="008E39BB">
        <w:rPr>
          <w:b/>
          <w:color w:val="000000" w:themeColor="text1"/>
        </w:rPr>
        <w:t>Mots-clé</w:t>
      </w:r>
      <w:proofErr w:type="spellEnd"/>
      <w:r w:rsidRPr="008E39BB">
        <w:rPr>
          <w:color w:val="000000" w:themeColor="text1"/>
        </w:rPr>
        <w:t xml:space="preserve"> : enseignement-apprentissage ; didactique des sciences ; didactique comparée ; apprentissages </w:t>
      </w:r>
      <w:r w:rsidR="00520FBC">
        <w:rPr>
          <w:color w:val="000000" w:themeColor="text1"/>
        </w:rPr>
        <w:t>premiers</w:t>
      </w:r>
      <w:r w:rsidRPr="008E39BB">
        <w:rPr>
          <w:color w:val="000000" w:themeColor="text1"/>
        </w:rPr>
        <w:t xml:space="preserve"> ; </w:t>
      </w:r>
      <w:proofErr w:type="spellStart"/>
      <w:r w:rsidRPr="008E39BB">
        <w:rPr>
          <w:color w:val="000000" w:themeColor="text1"/>
        </w:rPr>
        <w:t>topogénèse</w:t>
      </w:r>
      <w:proofErr w:type="spellEnd"/>
    </w:p>
    <w:p w14:paraId="298CBEB2" w14:textId="77777777" w:rsidR="008E39BB" w:rsidRPr="008E39BB" w:rsidRDefault="008E39BB" w:rsidP="008E39BB">
      <w:pPr>
        <w:jc w:val="both"/>
        <w:rPr>
          <w:color w:val="000000" w:themeColor="text1"/>
        </w:rPr>
      </w:pPr>
    </w:p>
    <w:p w14:paraId="177C72A8" w14:textId="77777777" w:rsidR="008E39BB" w:rsidRPr="008E39BB" w:rsidRDefault="008E39BB" w:rsidP="008E39BB">
      <w:pPr>
        <w:jc w:val="both"/>
        <w:rPr>
          <w:b/>
          <w:color w:val="000000" w:themeColor="text1"/>
        </w:rPr>
      </w:pPr>
      <w:r w:rsidRPr="008E39BB">
        <w:rPr>
          <w:b/>
          <w:color w:val="000000" w:themeColor="text1"/>
        </w:rPr>
        <w:t xml:space="preserve">Références bibliographiques </w:t>
      </w:r>
    </w:p>
    <w:p w14:paraId="1C474F28" w14:textId="77777777" w:rsidR="008E39BB" w:rsidRDefault="008E39BB" w:rsidP="008E39BB">
      <w:pPr>
        <w:jc w:val="both"/>
        <w:rPr>
          <w:color w:val="000000" w:themeColor="text1"/>
        </w:rPr>
      </w:pPr>
    </w:p>
    <w:p w14:paraId="70423BBC" w14:textId="396C7A16" w:rsidR="00830147" w:rsidRPr="00261205" w:rsidRDefault="00830147" w:rsidP="00CE395B">
      <w:pPr>
        <w:pStyle w:val="Paragraphedeliste"/>
        <w:numPr>
          <w:ilvl w:val="0"/>
          <w:numId w:val="5"/>
        </w:numPr>
        <w:autoSpaceDE w:val="0"/>
        <w:autoSpaceDN w:val="0"/>
        <w:adjustRightInd w:val="0"/>
        <w:jc w:val="both"/>
        <w:rPr>
          <w:rFonts w:ascii="Times New Roman" w:eastAsia="Times New Roman" w:hAnsi="Times New Roman" w:cs="Times New Roman"/>
          <w:noProof/>
          <w:sz w:val="22"/>
          <w:szCs w:val="22"/>
          <w:lang w:val="fr-CH" w:eastAsia="fr-FR"/>
        </w:rPr>
      </w:pPr>
      <w:r w:rsidRPr="00261205">
        <w:rPr>
          <w:rFonts w:ascii="Times New Roman" w:eastAsia="Times New Roman" w:hAnsi="Times New Roman" w:cs="Times New Roman"/>
          <w:noProof/>
          <w:sz w:val="22"/>
          <w:szCs w:val="22"/>
          <w:lang w:val="fr-CH" w:eastAsia="fr-FR"/>
        </w:rPr>
        <w:t>Bernié, J.P. (2002). L'approche des pratiques langagières scolaires à travers la notion de « communauté discursive » : un apport à la didactique comparée ? In: Revue française de pédagogie, vol. 141, Vers une didactique comparée (pp. 77-88).</w:t>
      </w:r>
    </w:p>
    <w:p w14:paraId="129F49BF" w14:textId="4B99A4EB" w:rsidR="00555881" w:rsidRPr="00261205" w:rsidRDefault="00555881" w:rsidP="00CE395B">
      <w:pPr>
        <w:pStyle w:val="Paragraphedeliste"/>
        <w:numPr>
          <w:ilvl w:val="0"/>
          <w:numId w:val="5"/>
        </w:numPr>
        <w:jc w:val="both"/>
        <w:rPr>
          <w:rStyle w:val="bluemilk"/>
          <w:rFonts w:ascii="Times New Roman" w:hAnsi="Times New Roman" w:cs="Times New Roman"/>
        </w:rPr>
      </w:pPr>
      <w:proofErr w:type="spellStart"/>
      <w:r w:rsidRPr="00261205">
        <w:rPr>
          <w:rStyle w:val="uppercase"/>
          <w:rFonts w:ascii="Times New Roman" w:hAnsi="Times New Roman" w:cs="Times New Roman"/>
        </w:rPr>
        <w:t>Bisault</w:t>
      </w:r>
      <w:proofErr w:type="spellEnd"/>
      <w:r w:rsidRPr="00261205">
        <w:rPr>
          <w:rStyle w:val="bluemilk"/>
          <w:rFonts w:ascii="Times New Roman" w:hAnsi="Times New Roman" w:cs="Times New Roman"/>
        </w:rPr>
        <w:t xml:space="preserve">, J. &amp; </w:t>
      </w:r>
      <w:r w:rsidRPr="00261205">
        <w:rPr>
          <w:rStyle w:val="uppercase"/>
          <w:rFonts w:ascii="Times New Roman" w:hAnsi="Times New Roman" w:cs="Times New Roman"/>
        </w:rPr>
        <w:t>Rebiffé</w:t>
      </w:r>
      <w:r w:rsidRPr="00261205">
        <w:rPr>
          <w:rStyle w:val="bluemilk"/>
          <w:rFonts w:ascii="Times New Roman" w:hAnsi="Times New Roman" w:cs="Times New Roman"/>
        </w:rPr>
        <w:t xml:space="preserve">, C. (2011). Découverte du monde et interactions langagières à l'école maternelle : construire ensemble un objet d'investigation scientifique. </w:t>
      </w:r>
      <w:r w:rsidRPr="00261205">
        <w:rPr>
          <w:rStyle w:val="bluemilk"/>
          <w:rFonts w:ascii="Times New Roman" w:hAnsi="Times New Roman" w:cs="Times New Roman"/>
          <w:i/>
          <w:iCs/>
        </w:rPr>
        <w:t>Carrefours de l'éducation</w:t>
      </w:r>
      <w:r w:rsidRPr="00261205">
        <w:rPr>
          <w:rStyle w:val="bluemilk"/>
          <w:rFonts w:ascii="Times New Roman" w:hAnsi="Times New Roman" w:cs="Times New Roman"/>
        </w:rPr>
        <w:t xml:space="preserve">, </w:t>
      </w:r>
      <w:proofErr w:type="spellStart"/>
      <w:r w:rsidRPr="00261205">
        <w:rPr>
          <w:rStyle w:val="bluemilk"/>
          <w:rFonts w:ascii="Times New Roman" w:hAnsi="Times New Roman" w:cs="Times New Roman"/>
        </w:rPr>
        <w:t>hs</w:t>
      </w:r>
      <w:proofErr w:type="spellEnd"/>
      <w:r w:rsidRPr="00261205">
        <w:rPr>
          <w:rStyle w:val="bluemilk"/>
          <w:rFonts w:ascii="Times New Roman" w:hAnsi="Times New Roman" w:cs="Times New Roman"/>
        </w:rPr>
        <w:t xml:space="preserve"> 1(3), (pp. 13-28). </w:t>
      </w:r>
    </w:p>
    <w:p w14:paraId="17F8E4DC" w14:textId="15FA0D83" w:rsidR="00686942" w:rsidRPr="00261205" w:rsidRDefault="00686942" w:rsidP="00CE395B">
      <w:pPr>
        <w:pStyle w:val="Bibliographie"/>
        <w:numPr>
          <w:ilvl w:val="0"/>
          <w:numId w:val="5"/>
        </w:numPr>
        <w:rPr>
          <w:rFonts w:ascii="Times New Roman" w:hAnsi="Times New Roman"/>
          <w:noProof/>
        </w:rPr>
      </w:pPr>
      <w:r w:rsidRPr="00261205">
        <w:rPr>
          <w:rFonts w:ascii="Times New Roman" w:hAnsi="Times New Roman"/>
          <w:noProof/>
        </w:rPr>
        <w:t>Ligozat, F. (2015). L'analyse didactique des pratiques de classe : outils et démarche d'identification des logiques d'action enseignantes en mathématiques. Dans J. Dolz, &amp; F. Leutenegger, L'analyse de pratiques dans la formation à l'enseignement (pp. 17-37). Neuchâtel: CDHEP.</w:t>
      </w:r>
    </w:p>
    <w:p w14:paraId="6EB1B4ED" w14:textId="33804AE4" w:rsidR="00A7184E" w:rsidRPr="00261205" w:rsidRDefault="00A7184E" w:rsidP="00CE395B">
      <w:pPr>
        <w:pStyle w:val="Corpsdetexte"/>
        <w:numPr>
          <w:ilvl w:val="0"/>
          <w:numId w:val="5"/>
        </w:numPr>
        <w:jc w:val="both"/>
        <w:rPr>
          <w:rFonts w:ascii="Times New Roman" w:eastAsia="Times New Roman" w:hAnsi="Times New Roman"/>
          <w:noProof/>
          <w:sz w:val="22"/>
          <w:lang w:val="fr-CH"/>
        </w:rPr>
      </w:pPr>
      <w:r w:rsidRPr="00261205">
        <w:rPr>
          <w:rFonts w:ascii="Times New Roman" w:eastAsia="Times New Roman" w:hAnsi="Times New Roman"/>
          <w:noProof/>
          <w:sz w:val="22"/>
          <w:lang w:val="fr-CH"/>
        </w:rPr>
        <w:t xml:space="preserve">Marlot, C. (2014). Le processus de double sémiotisation au cœur des stratégies didactiques du professeur. Une étude de cas en découverte du monde vivant au cycle 2. </w:t>
      </w:r>
      <w:r w:rsidRPr="00261205">
        <w:rPr>
          <w:rFonts w:ascii="Times New Roman" w:eastAsia="Times New Roman" w:hAnsi="Times New Roman"/>
          <w:i/>
          <w:noProof/>
          <w:sz w:val="22"/>
          <w:lang w:val="fr-CH"/>
        </w:rPr>
        <w:t>Revue Suisse des Sciences de l’Éducation</w:t>
      </w:r>
      <w:r w:rsidRPr="00261205">
        <w:rPr>
          <w:rFonts w:ascii="Times New Roman" w:eastAsia="Times New Roman" w:hAnsi="Times New Roman"/>
          <w:noProof/>
          <w:sz w:val="22"/>
          <w:lang w:val="fr-CH"/>
        </w:rPr>
        <w:t>. 36 (2). (pp. 307-332).</w:t>
      </w:r>
    </w:p>
    <w:p w14:paraId="52B14734" w14:textId="5A5788DA" w:rsidR="00F247F5" w:rsidRPr="00261205" w:rsidRDefault="00F247F5" w:rsidP="00CE395B">
      <w:pPr>
        <w:pStyle w:val="Paragraphedeliste"/>
        <w:numPr>
          <w:ilvl w:val="0"/>
          <w:numId w:val="5"/>
        </w:numPr>
        <w:jc w:val="both"/>
        <w:rPr>
          <w:rFonts w:ascii="Times New Roman" w:eastAsia="Times New Roman" w:hAnsi="Times New Roman" w:cs="Times New Roman"/>
          <w:noProof/>
          <w:sz w:val="22"/>
          <w:szCs w:val="22"/>
          <w:lang w:val="fr-CH" w:eastAsia="fr-FR"/>
        </w:rPr>
      </w:pPr>
      <w:r w:rsidRPr="00261205">
        <w:rPr>
          <w:rFonts w:ascii="Times New Roman" w:eastAsia="Times New Roman" w:hAnsi="Times New Roman" w:cs="Times New Roman"/>
          <w:sz w:val="22"/>
          <w:szCs w:val="22"/>
          <w:lang w:val="fr-CH" w:eastAsia="fr-FR"/>
        </w:rPr>
        <w:fldChar w:fldCharType="begin"/>
      </w:r>
      <w:r w:rsidRPr="00261205">
        <w:rPr>
          <w:rFonts w:ascii="Times New Roman" w:eastAsia="Times New Roman" w:hAnsi="Times New Roman" w:cs="Times New Roman"/>
          <w:sz w:val="22"/>
          <w:szCs w:val="22"/>
          <w:lang w:val="fr-CH" w:eastAsia="fr-FR"/>
        </w:rPr>
        <w:instrText xml:space="preserve"> BIBLIOGRAPHY  \l 4108 </w:instrText>
      </w:r>
      <w:r w:rsidRPr="00261205">
        <w:rPr>
          <w:rFonts w:ascii="Times New Roman" w:eastAsia="Times New Roman" w:hAnsi="Times New Roman" w:cs="Times New Roman"/>
          <w:sz w:val="22"/>
          <w:szCs w:val="22"/>
          <w:lang w:val="fr-CH" w:eastAsia="fr-FR"/>
        </w:rPr>
        <w:fldChar w:fldCharType="separate"/>
      </w:r>
      <w:r w:rsidRPr="00261205">
        <w:rPr>
          <w:rFonts w:ascii="Times New Roman" w:eastAsia="Times New Roman" w:hAnsi="Times New Roman" w:cs="Times New Roman"/>
          <w:noProof/>
          <w:sz w:val="22"/>
          <w:szCs w:val="22"/>
          <w:lang w:val="fr-CH" w:eastAsia="fr-FR"/>
        </w:rPr>
        <w:t xml:space="preserve">Riat, C. (2017). </w:t>
      </w:r>
      <w:r w:rsidRPr="00261205">
        <w:rPr>
          <w:rFonts w:ascii="Times New Roman" w:eastAsia="Times New Roman" w:hAnsi="Times New Roman" w:cs="Times New Roman"/>
          <w:i/>
          <w:iCs/>
          <w:noProof/>
          <w:sz w:val="22"/>
          <w:szCs w:val="22"/>
          <w:lang w:val="fr-CH" w:eastAsia="fr-FR"/>
        </w:rPr>
        <w:t>L'action conjointe enseignant - élèves au début des pratiques scolaires : entre prescriptions, ingéniosité didactique et apprentissage. Etude comparée en Langue 1 et Mathématiques.</w:t>
      </w:r>
      <w:r w:rsidRPr="00261205">
        <w:rPr>
          <w:rFonts w:ascii="Times New Roman" w:eastAsia="Times New Roman" w:hAnsi="Times New Roman" w:cs="Times New Roman"/>
          <w:noProof/>
          <w:sz w:val="22"/>
          <w:szCs w:val="22"/>
          <w:lang w:val="fr-CH" w:eastAsia="fr-FR"/>
        </w:rPr>
        <w:t xml:space="preserve"> Genève: Thèse de doctorat no 669. Archive ouverte Université de Genève.</w:t>
      </w:r>
    </w:p>
    <w:p w14:paraId="6B29F234" w14:textId="282EB724" w:rsidR="0069343F" w:rsidRPr="00261205" w:rsidRDefault="0069343F" w:rsidP="00CE395B">
      <w:pPr>
        <w:pStyle w:val="Paragraphedeliste"/>
        <w:numPr>
          <w:ilvl w:val="0"/>
          <w:numId w:val="5"/>
        </w:numPr>
        <w:jc w:val="both"/>
        <w:rPr>
          <w:rFonts w:ascii="Times New Roman" w:eastAsia="Times New Roman" w:hAnsi="Times New Roman" w:cs="Times New Roman"/>
          <w:noProof/>
          <w:sz w:val="22"/>
          <w:szCs w:val="22"/>
          <w:lang w:val="fr-CH" w:eastAsia="fr-FR"/>
        </w:rPr>
      </w:pPr>
      <w:r w:rsidRPr="00261205">
        <w:rPr>
          <w:rFonts w:ascii="Times New Roman" w:eastAsia="Times New Roman" w:hAnsi="Times New Roman" w:cs="Times New Roman"/>
          <w:noProof/>
          <w:lang w:val="fr-CH" w:eastAsia="fr-FR"/>
        </w:rPr>
        <w:t>Schneuwly, B. (2000). Les outils de l'enseignant, un essai didactique. Repères 22 (pp. 18-38).</w:t>
      </w:r>
    </w:p>
    <w:p w14:paraId="2334A6BD" w14:textId="77D5FBA3" w:rsidR="008E3CE3" w:rsidRPr="00261205" w:rsidRDefault="00A16B3C" w:rsidP="00CE395B">
      <w:pPr>
        <w:pStyle w:val="Paragraphedeliste"/>
        <w:numPr>
          <w:ilvl w:val="0"/>
          <w:numId w:val="5"/>
        </w:numPr>
        <w:jc w:val="both"/>
        <w:rPr>
          <w:rFonts w:ascii="Times New Roman" w:eastAsia="Times New Roman" w:hAnsi="Times New Roman" w:cs="Times New Roman"/>
          <w:noProof/>
          <w:sz w:val="22"/>
          <w:szCs w:val="22"/>
          <w:lang w:val="fr-CH" w:eastAsia="fr-FR"/>
        </w:rPr>
      </w:pPr>
      <w:r w:rsidRPr="00261205">
        <w:rPr>
          <w:rFonts w:ascii="Times New Roman" w:eastAsia="Times New Roman" w:hAnsi="Times New Roman" w:cs="Times New Roman"/>
          <w:noProof/>
          <w:sz w:val="22"/>
          <w:szCs w:val="22"/>
          <w:lang w:val="fr-CH" w:eastAsia="fr-FR"/>
        </w:rPr>
        <w:t xml:space="preserve">Tiberghien, A.&amp; Vince, J. (2005). Étude de l'activité des élèves de lycée en situation d'enseignement de la physique. </w:t>
      </w:r>
      <w:r w:rsidRPr="00261205">
        <w:rPr>
          <w:rFonts w:ascii="Times New Roman" w:hAnsi="Times New Roman" w:cs="Times New Roman"/>
        </w:rPr>
        <w:t xml:space="preserve">Cahiers du français contemporain, INRP. </w:t>
      </w:r>
    </w:p>
    <w:p w14:paraId="489CA6D3" w14:textId="77777777" w:rsidR="008E3CE3" w:rsidRPr="00261205" w:rsidRDefault="008E3CE3" w:rsidP="00A16B3C">
      <w:pPr>
        <w:pStyle w:val="Paragraphedeliste"/>
        <w:jc w:val="both"/>
        <w:rPr>
          <w:rFonts w:ascii="Times New Roman" w:eastAsia="Times New Roman" w:hAnsi="Times New Roman" w:cs="Times New Roman"/>
          <w:noProof/>
          <w:sz w:val="22"/>
          <w:szCs w:val="22"/>
          <w:lang w:val="fr-CH" w:eastAsia="fr-FR"/>
        </w:rPr>
      </w:pPr>
    </w:p>
    <w:p w14:paraId="24ED2B09" w14:textId="497F9F5B" w:rsidR="007A0A6A" w:rsidRPr="00261205" w:rsidRDefault="007A0A6A" w:rsidP="00CE395B">
      <w:pPr>
        <w:jc w:val="both"/>
        <w:rPr>
          <w:noProof/>
        </w:rPr>
      </w:pPr>
    </w:p>
    <w:p w14:paraId="0E3BC99A" w14:textId="0B39F1F5" w:rsidR="007A0A6A" w:rsidRPr="007A0A6A" w:rsidRDefault="00F247F5" w:rsidP="00CE395B">
      <w:pPr>
        <w:spacing w:line="159" w:lineRule="exact"/>
        <w:ind w:left="368" w:hanging="256"/>
        <w:jc w:val="both"/>
        <w:rPr>
          <w:rFonts w:ascii="Arial" w:hAnsi="Arial"/>
          <w:noProof/>
          <w:sz w:val="22"/>
          <w:szCs w:val="22"/>
        </w:rPr>
      </w:pPr>
      <w:r w:rsidRPr="00261205">
        <w:rPr>
          <w:sz w:val="22"/>
          <w:szCs w:val="22"/>
        </w:rPr>
        <w:fldChar w:fldCharType="end"/>
      </w:r>
      <w:r w:rsidR="007A0A6A" w:rsidRPr="007A0A6A">
        <w:rPr>
          <w:rFonts w:ascii="PMingLiU" w:eastAsia="PMingLiU" w:hAnsi="PMingLiU" w:cs="PMingLiU"/>
          <w:color w:val="231F20"/>
          <w:sz w:val="16"/>
          <w:szCs w:val="16"/>
        </w:rPr>
        <w:t xml:space="preserve"> </w:t>
      </w:r>
    </w:p>
    <w:p w14:paraId="757931CD" w14:textId="77777777" w:rsidR="008E39BB" w:rsidRPr="00AB5743" w:rsidRDefault="008E39BB" w:rsidP="008E39BB">
      <w:pPr>
        <w:jc w:val="both"/>
        <w:rPr>
          <w:color w:val="000000" w:themeColor="text1"/>
          <w:lang w:val="en-US"/>
        </w:rPr>
      </w:pPr>
    </w:p>
    <w:sectPr w:rsidR="008E39BB" w:rsidRPr="00AB5743" w:rsidSect="000F43F7">
      <w:headerReference w:type="default" r:id="rId8"/>
      <w:footerReference w:type="even" r:id="rId9"/>
      <w:footerReference w:type="default" r:id="rId10"/>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84DF41" w14:textId="77777777" w:rsidR="000E32C8" w:rsidRDefault="000E32C8" w:rsidP="001951B4">
      <w:r>
        <w:separator/>
      </w:r>
    </w:p>
  </w:endnote>
  <w:endnote w:type="continuationSeparator" w:id="0">
    <w:p w14:paraId="6CFAD711" w14:textId="77777777" w:rsidR="000E32C8" w:rsidRDefault="000E32C8" w:rsidP="001951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Bitstream Charter">
    <w:altName w:val="Arial"/>
    <w:panose1 w:val="020B0604020202020204"/>
    <w:charset w:val="00"/>
    <w:family w:val="auto"/>
    <w:pitch w:val="default"/>
  </w:font>
  <w:font w:name="Bitstream Vera Sans">
    <w:altName w:val="Calibri"/>
    <w:panose1 w:val="020B0604020202020204"/>
    <w:charset w:val="00"/>
    <w:family w:val="swiss"/>
    <w:pitch w:val="variable"/>
    <w:sig w:usb0="800000AF" w:usb1="1000204A" w:usb2="00000000" w:usb3="00000000" w:csb0="00000001"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rodepage"/>
      </w:rPr>
      <w:id w:val="-1401829207"/>
      <w:docPartObj>
        <w:docPartGallery w:val="Page Numbers (Bottom of Page)"/>
        <w:docPartUnique/>
      </w:docPartObj>
    </w:sdtPr>
    <w:sdtEndPr>
      <w:rPr>
        <w:rStyle w:val="Numrodepage"/>
      </w:rPr>
    </w:sdtEndPr>
    <w:sdtContent>
      <w:p w14:paraId="21778BBA" w14:textId="77777777" w:rsidR="001951B4" w:rsidRDefault="001951B4" w:rsidP="00F655D9">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end"/>
        </w:r>
      </w:p>
    </w:sdtContent>
  </w:sdt>
  <w:p w14:paraId="023810C7" w14:textId="77777777" w:rsidR="001951B4" w:rsidRDefault="001951B4" w:rsidP="001951B4">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rodepage"/>
      </w:rPr>
      <w:id w:val="1640304433"/>
      <w:docPartObj>
        <w:docPartGallery w:val="Page Numbers (Bottom of Page)"/>
        <w:docPartUnique/>
      </w:docPartObj>
    </w:sdtPr>
    <w:sdtEndPr>
      <w:rPr>
        <w:rStyle w:val="Numrodepage"/>
      </w:rPr>
    </w:sdtEndPr>
    <w:sdtContent>
      <w:p w14:paraId="5B9C7353" w14:textId="40D82FE7" w:rsidR="001951B4" w:rsidRDefault="001951B4" w:rsidP="00F655D9">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sidR="00A76984">
          <w:rPr>
            <w:rStyle w:val="Numrodepage"/>
            <w:noProof/>
          </w:rPr>
          <w:t>1</w:t>
        </w:r>
        <w:r>
          <w:rPr>
            <w:rStyle w:val="Numrodepage"/>
          </w:rPr>
          <w:fldChar w:fldCharType="end"/>
        </w:r>
      </w:p>
    </w:sdtContent>
  </w:sdt>
  <w:p w14:paraId="1C012466" w14:textId="77777777" w:rsidR="001951B4" w:rsidRDefault="001951B4" w:rsidP="001951B4">
    <w:pPr>
      <w:pStyle w:val="Pieddepag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02EE2B" w14:textId="77777777" w:rsidR="000E32C8" w:rsidRDefault="000E32C8" w:rsidP="001951B4">
      <w:r>
        <w:separator/>
      </w:r>
    </w:p>
  </w:footnote>
  <w:footnote w:type="continuationSeparator" w:id="0">
    <w:p w14:paraId="4BBE0116" w14:textId="77777777" w:rsidR="000E32C8" w:rsidRDefault="000E32C8" w:rsidP="001951B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C8DC0D" w14:textId="6A3D13B2" w:rsidR="001951B4" w:rsidRPr="001951B4" w:rsidRDefault="001951B4" w:rsidP="001951B4">
    <w:pPr>
      <w:pStyle w:val="En-tte"/>
      <w:jc w:val="center"/>
      <w:rPr>
        <w:color w:val="4472C4" w:themeColor="accent1"/>
        <w:sz w:val="22"/>
      </w:rPr>
    </w:pPr>
    <w:r w:rsidRPr="001951B4">
      <w:rPr>
        <w:color w:val="4472C4" w:themeColor="accent1"/>
        <w:sz w:val="22"/>
      </w:rPr>
      <w:t xml:space="preserve">Colloque « objets pour apprendre, objets à apprendre : quelles pratiques </w:t>
    </w:r>
    <w:r w:rsidR="005A4A48" w:rsidRPr="001951B4">
      <w:rPr>
        <w:color w:val="4472C4" w:themeColor="accent1"/>
        <w:sz w:val="22"/>
      </w:rPr>
      <w:t>enseignantes pour</w:t>
    </w:r>
    <w:r w:rsidRPr="001951B4">
      <w:rPr>
        <w:color w:val="4472C4" w:themeColor="accent1"/>
        <w:sz w:val="22"/>
      </w:rPr>
      <w:t xml:space="preserve"> quels enjeux ? »</w:t>
    </w:r>
  </w:p>
  <w:p w14:paraId="39AEC24E" w14:textId="77777777" w:rsidR="001951B4" w:rsidRPr="001951B4" w:rsidRDefault="001951B4" w:rsidP="001951B4">
    <w:pPr>
      <w:pStyle w:val="En-tte"/>
      <w:jc w:val="center"/>
      <w:rPr>
        <w:i/>
        <w:sz w:val="22"/>
      </w:rPr>
    </w:pPr>
    <w:r w:rsidRPr="001951B4">
      <w:rPr>
        <w:i/>
        <w:sz w:val="22"/>
      </w:rPr>
      <w:t>Amiens, 11 et 12 juin 2018. Université de Picardie Jules Verne/CAREF</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0117B7"/>
    <w:multiLevelType w:val="singleLevel"/>
    <w:tmpl w:val="EB84B84E"/>
    <w:lvl w:ilvl="0">
      <w:start w:val="4"/>
      <w:numFmt w:val="bullet"/>
      <w:lvlText w:val="-"/>
      <w:lvlJc w:val="left"/>
      <w:pPr>
        <w:tabs>
          <w:tab w:val="num" w:pos="360"/>
        </w:tabs>
        <w:ind w:left="360" w:hanging="360"/>
      </w:pPr>
      <w:rPr>
        <w:rFonts w:ascii="Times New Roman" w:hAnsi="Times New Roman" w:cs="Times New Roman" w:hint="default"/>
        <w:i w:val="0"/>
      </w:rPr>
    </w:lvl>
  </w:abstractNum>
  <w:abstractNum w:abstractNumId="1" w15:restartNumberingAfterBreak="0">
    <w:nsid w:val="0BBF4367"/>
    <w:multiLevelType w:val="hybridMultilevel"/>
    <w:tmpl w:val="16ECE506"/>
    <w:lvl w:ilvl="0" w:tplc="D6BC801C">
      <w:start w:val="1"/>
      <w:numFmt w:val="bullet"/>
      <w:lvlText w:val="•"/>
      <w:lvlJc w:val="left"/>
      <w:pPr>
        <w:tabs>
          <w:tab w:val="num" w:pos="720"/>
        </w:tabs>
        <w:ind w:left="720" w:hanging="360"/>
      </w:pPr>
      <w:rPr>
        <w:rFonts w:ascii="Arial" w:hAnsi="Arial" w:hint="default"/>
      </w:rPr>
    </w:lvl>
    <w:lvl w:ilvl="1" w:tplc="125A4FD0" w:tentative="1">
      <w:start w:val="1"/>
      <w:numFmt w:val="bullet"/>
      <w:lvlText w:val="•"/>
      <w:lvlJc w:val="left"/>
      <w:pPr>
        <w:tabs>
          <w:tab w:val="num" w:pos="1440"/>
        </w:tabs>
        <w:ind w:left="1440" w:hanging="360"/>
      </w:pPr>
      <w:rPr>
        <w:rFonts w:ascii="Arial" w:hAnsi="Arial" w:hint="default"/>
      </w:rPr>
    </w:lvl>
    <w:lvl w:ilvl="2" w:tplc="729431CA" w:tentative="1">
      <w:start w:val="1"/>
      <w:numFmt w:val="bullet"/>
      <w:lvlText w:val="•"/>
      <w:lvlJc w:val="left"/>
      <w:pPr>
        <w:tabs>
          <w:tab w:val="num" w:pos="2160"/>
        </w:tabs>
        <w:ind w:left="2160" w:hanging="360"/>
      </w:pPr>
      <w:rPr>
        <w:rFonts w:ascii="Arial" w:hAnsi="Arial" w:hint="default"/>
      </w:rPr>
    </w:lvl>
    <w:lvl w:ilvl="3" w:tplc="A2A6285E" w:tentative="1">
      <w:start w:val="1"/>
      <w:numFmt w:val="bullet"/>
      <w:lvlText w:val="•"/>
      <w:lvlJc w:val="left"/>
      <w:pPr>
        <w:tabs>
          <w:tab w:val="num" w:pos="2880"/>
        </w:tabs>
        <w:ind w:left="2880" w:hanging="360"/>
      </w:pPr>
      <w:rPr>
        <w:rFonts w:ascii="Arial" w:hAnsi="Arial" w:hint="default"/>
      </w:rPr>
    </w:lvl>
    <w:lvl w:ilvl="4" w:tplc="F252B722" w:tentative="1">
      <w:start w:val="1"/>
      <w:numFmt w:val="bullet"/>
      <w:lvlText w:val="•"/>
      <w:lvlJc w:val="left"/>
      <w:pPr>
        <w:tabs>
          <w:tab w:val="num" w:pos="3600"/>
        </w:tabs>
        <w:ind w:left="3600" w:hanging="360"/>
      </w:pPr>
      <w:rPr>
        <w:rFonts w:ascii="Arial" w:hAnsi="Arial" w:hint="default"/>
      </w:rPr>
    </w:lvl>
    <w:lvl w:ilvl="5" w:tplc="17A4764A" w:tentative="1">
      <w:start w:val="1"/>
      <w:numFmt w:val="bullet"/>
      <w:lvlText w:val="•"/>
      <w:lvlJc w:val="left"/>
      <w:pPr>
        <w:tabs>
          <w:tab w:val="num" w:pos="4320"/>
        </w:tabs>
        <w:ind w:left="4320" w:hanging="360"/>
      </w:pPr>
      <w:rPr>
        <w:rFonts w:ascii="Arial" w:hAnsi="Arial" w:hint="default"/>
      </w:rPr>
    </w:lvl>
    <w:lvl w:ilvl="6" w:tplc="78EA17B4" w:tentative="1">
      <w:start w:val="1"/>
      <w:numFmt w:val="bullet"/>
      <w:lvlText w:val="•"/>
      <w:lvlJc w:val="left"/>
      <w:pPr>
        <w:tabs>
          <w:tab w:val="num" w:pos="5040"/>
        </w:tabs>
        <w:ind w:left="5040" w:hanging="360"/>
      </w:pPr>
      <w:rPr>
        <w:rFonts w:ascii="Arial" w:hAnsi="Arial" w:hint="default"/>
      </w:rPr>
    </w:lvl>
    <w:lvl w:ilvl="7" w:tplc="A0766F1A" w:tentative="1">
      <w:start w:val="1"/>
      <w:numFmt w:val="bullet"/>
      <w:lvlText w:val="•"/>
      <w:lvlJc w:val="left"/>
      <w:pPr>
        <w:tabs>
          <w:tab w:val="num" w:pos="5760"/>
        </w:tabs>
        <w:ind w:left="5760" w:hanging="360"/>
      </w:pPr>
      <w:rPr>
        <w:rFonts w:ascii="Arial" w:hAnsi="Arial" w:hint="default"/>
      </w:rPr>
    </w:lvl>
    <w:lvl w:ilvl="8" w:tplc="CCA2E3BE"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1940522"/>
    <w:multiLevelType w:val="hybridMultilevel"/>
    <w:tmpl w:val="0C98786E"/>
    <w:lvl w:ilvl="0" w:tplc="FC747B6A">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32D30971"/>
    <w:multiLevelType w:val="hybridMultilevel"/>
    <w:tmpl w:val="A9D26A84"/>
    <w:lvl w:ilvl="0" w:tplc="C11849CA">
      <w:start w:val="1"/>
      <w:numFmt w:val="bullet"/>
      <w:lvlText w:val="•"/>
      <w:lvlJc w:val="left"/>
      <w:pPr>
        <w:tabs>
          <w:tab w:val="num" w:pos="720"/>
        </w:tabs>
        <w:ind w:left="720" w:hanging="360"/>
      </w:pPr>
      <w:rPr>
        <w:rFonts w:ascii="Arial" w:hAnsi="Arial" w:hint="default"/>
      </w:rPr>
    </w:lvl>
    <w:lvl w:ilvl="1" w:tplc="53F2CE2C" w:tentative="1">
      <w:start w:val="1"/>
      <w:numFmt w:val="bullet"/>
      <w:lvlText w:val="•"/>
      <w:lvlJc w:val="left"/>
      <w:pPr>
        <w:tabs>
          <w:tab w:val="num" w:pos="1440"/>
        </w:tabs>
        <w:ind w:left="1440" w:hanging="360"/>
      </w:pPr>
      <w:rPr>
        <w:rFonts w:ascii="Arial" w:hAnsi="Arial" w:hint="default"/>
      </w:rPr>
    </w:lvl>
    <w:lvl w:ilvl="2" w:tplc="F3CA311A" w:tentative="1">
      <w:start w:val="1"/>
      <w:numFmt w:val="bullet"/>
      <w:lvlText w:val="•"/>
      <w:lvlJc w:val="left"/>
      <w:pPr>
        <w:tabs>
          <w:tab w:val="num" w:pos="2160"/>
        </w:tabs>
        <w:ind w:left="2160" w:hanging="360"/>
      </w:pPr>
      <w:rPr>
        <w:rFonts w:ascii="Arial" w:hAnsi="Arial" w:hint="default"/>
      </w:rPr>
    </w:lvl>
    <w:lvl w:ilvl="3" w:tplc="1074B2E2" w:tentative="1">
      <w:start w:val="1"/>
      <w:numFmt w:val="bullet"/>
      <w:lvlText w:val="•"/>
      <w:lvlJc w:val="left"/>
      <w:pPr>
        <w:tabs>
          <w:tab w:val="num" w:pos="2880"/>
        </w:tabs>
        <w:ind w:left="2880" w:hanging="360"/>
      </w:pPr>
      <w:rPr>
        <w:rFonts w:ascii="Arial" w:hAnsi="Arial" w:hint="default"/>
      </w:rPr>
    </w:lvl>
    <w:lvl w:ilvl="4" w:tplc="0EBA6686" w:tentative="1">
      <w:start w:val="1"/>
      <w:numFmt w:val="bullet"/>
      <w:lvlText w:val="•"/>
      <w:lvlJc w:val="left"/>
      <w:pPr>
        <w:tabs>
          <w:tab w:val="num" w:pos="3600"/>
        </w:tabs>
        <w:ind w:left="3600" w:hanging="360"/>
      </w:pPr>
      <w:rPr>
        <w:rFonts w:ascii="Arial" w:hAnsi="Arial" w:hint="default"/>
      </w:rPr>
    </w:lvl>
    <w:lvl w:ilvl="5" w:tplc="8EE0C4E6" w:tentative="1">
      <w:start w:val="1"/>
      <w:numFmt w:val="bullet"/>
      <w:lvlText w:val="•"/>
      <w:lvlJc w:val="left"/>
      <w:pPr>
        <w:tabs>
          <w:tab w:val="num" w:pos="4320"/>
        </w:tabs>
        <w:ind w:left="4320" w:hanging="360"/>
      </w:pPr>
      <w:rPr>
        <w:rFonts w:ascii="Arial" w:hAnsi="Arial" w:hint="default"/>
      </w:rPr>
    </w:lvl>
    <w:lvl w:ilvl="6" w:tplc="54524B6C" w:tentative="1">
      <w:start w:val="1"/>
      <w:numFmt w:val="bullet"/>
      <w:lvlText w:val="•"/>
      <w:lvlJc w:val="left"/>
      <w:pPr>
        <w:tabs>
          <w:tab w:val="num" w:pos="5040"/>
        </w:tabs>
        <w:ind w:left="5040" w:hanging="360"/>
      </w:pPr>
      <w:rPr>
        <w:rFonts w:ascii="Arial" w:hAnsi="Arial" w:hint="default"/>
      </w:rPr>
    </w:lvl>
    <w:lvl w:ilvl="7" w:tplc="BCEAF0D6" w:tentative="1">
      <w:start w:val="1"/>
      <w:numFmt w:val="bullet"/>
      <w:lvlText w:val="•"/>
      <w:lvlJc w:val="left"/>
      <w:pPr>
        <w:tabs>
          <w:tab w:val="num" w:pos="5760"/>
        </w:tabs>
        <w:ind w:left="5760" w:hanging="360"/>
      </w:pPr>
      <w:rPr>
        <w:rFonts w:ascii="Arial" w:hAnsi="Arial" w:hint="default"/>
      </w:rPr>
    </w:lvl>
    <w:lvl w:ilvl="8" w:tplc="C654172C"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3C5A0BA8"/>
    <w:multiLevelType w:val="hybridMultilevel"/>
    <w:tmpl w:val="B8425F24"/>
    <w:lvl w:ilvl="0" w:tplc="8766F1D0">
      <w:start w:val="1"/>
      <w:numFmt w:val="bullet"/>
      <w:lvlText w:val=""/>
      <w:lvlJc w:val="left"/>
      <w:pPr>
        <w:tabs>
          <w:tab w:val="num" w:pos="720"/>
        </w:tabs>
        <w:ind w:left="720" w:hanging="360"/>
      </w:pPr>
      <w:rPr>
        <w:rFonts w:ascii="Wingdings" w:hAnsi="Wingdings" w:hint="default"/>
      </w:rPr>
    </w:lvl>
    <w:lvl w:ilvl="1" w:tplc="4ACE331A" w:tentative="1">
      <w:start w:val="1"/>
      <w:numFmt w:val="bullet"/>
      <w:lvlText w:val=""/>
      <w:lvlJc w:val="left"/>
      <w:pPr>
        <w:tabs>
          <w:tab w:val="num" w:pos="1440"/>
        </w:tabs>
        <w:ind w:left="1440" w:hanging="360"/>
      </w:pPr>
      <w:rPr>
        <w:rFonts w:ascii="Wingdings" w:hAnsi="Wingdings" w:hint="default"/>
      </w:rPr>
    </w:lvl>
    <w:lvl w:ilvl="2" w:tplc="B56430BA" w:tentative="1">
      <w:start w:val="1"/>
      <w:numFmt w:val="bullet"/>
      <w:lvlText w:val=""/>
      <w:lvlJc w:val="left"/>
      <w:pPr>
        <w:tabs>
          <w:tab w:val="num" w:pos="2160"/>
        </w:tabs>
        <w:ind w:left="2160" w:hanging="360"/>
      </w:pPr>
      <w:rPr>
        <w:rFonts w:ascii="Wingdings" w:hAnsi="Wingdings" w:hint="default"/>
      </w:rPr>
    </w:lvl>
    <w:lvl w:ilvl="3" w:tplc="997A73EE" w:tentative="1">
      <w:start w:val="1"/>
      <w:numFmt w:val="bullet"/>
      <w:lvlText w:val=""/>
      <w:lvlJc w:val="left"/>
      <w:pPr>
        <w:tabs>
          <w:tab w:val="num" w:pos="2880"/>
        </w:tabs>
        <w:ind w:left="2880" w:hanging="360"/>
      </w:pPr>
      <w:rPr>
        <w:rFonts w:ascii="Wingdings" w:hAnsi="Wingdings" w:hint="default"/>
      </w:rPr>
    </w:lvl>
    <w:lvl w:ilvl="4" w:tplc="EE0869AA" w:tentative="1">
      <w:start w:val="1"/>
      <w:numFmt w:val="bullet"/>
      <w:lvlText w:val=""/>
      <w:lvlJc w:val="left"/>
      <w:pPr>
        <w:tabs>
          <w:tab w:val="num" w:pos="3600"/>
        </w:tabs>
        <w:ind w:left="3600" w:hanging="360"/>
      </w:pPr>
      <w:rPr>
        <w:rFonts w:ascii="Wingdings" w:hAnsi="Wingdings" w:hint="default"/>
      </w:rPr>
    </w:lvl>
    <w:lvl w:ilvl="5" w:tplc="0608AD6A" w:tentative="1">
      <w:start w:val="1"/>
      <w:numFmt w:val="bullet"/>
      <w:lvlText w:val=""/>
      <w:lvlJc w:val="left"/>
      <w:pPr>
        <w:tabs>
          <w:tab w:val="num" w:pos="4320"/>
        </w:tabs>
        <w:ind w:left="4320" w:hanging="360"/>
      </w:pPr>
      <w:rPr>
        <w:rFonts w:ascii="Wingdings" w:hAnsi="Wingdings" w:hint="default"/>
      </w:rPr>
    </w:lvl>
    <w:lvl w:ilvl="6" w:tplc="3A0C4A72" w:tentative="1">
      <w:start w:val="1"/>
      <w:numFmt w:val="bullet"/>
      <w:lvlText w:val=""/>
      <w:lvlJc w:val="left"/>
      <w:pPr>
        <w:tabs>
          <w:tab w:val="num" w:pos="5040"/>
        </w:tabs>
        <w:ind w:left="5040" w:hanging="360"/>
      </w:pPr>
      <w:rPr>
        <w:rFonts w:ascii="Wingdings" w:hAnsi="Wingdings" w:hint="default"/>
      </w:rPr>
    </w:lvl>
    <w:lvl w:ilvl="7" w:tplc="7ECE46D6" w:tentative="1">
      <w:start w:val="1"/>
      <w:numFmt w:val="bullet"/>
      <w:lvlText w:val=""/>
      <w:lvlJc w:val="left"/>
      <w:pPr>
        <w:tabs>
          <w:tab w:val="num" w:pos="5760"/>
        </w:tabs>
        <w:ind w:left="5760" w:hanging="360"/>
      </w:pPr>
      <w:rPr>
        <w:rFonts w:ascii="Wingdings" w:hAnsi="Wingdings" w:hint="default"/>
      </w:rPr>
    </w:lvl>
    <w:lvl w:ilvl="8" w:tplc="08A4009E"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4"/>
  </w:num>
  <w:num w:numId="3">
    <w:abstractNumId w:val="1"/>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51B4"/>
    <w:rsid w:val="0009009A"/>
    <w:rsid w:val="000E32C8"/>
    <w:rsid w:val="000F43F7"/>
    <w:rsid w:val="001158DA"/>
    <w:rsid w:val="001401D6"/>
    <w:rsid w:val="001951B4"/>
    <w:rsid w:val="001B3A75"/>
    <w:rsid w:val="00240340"/>
    <w:rsid w:val="00261205"/>
    <w:rsid w:val="002918AE"/>
    <w:rsid w:val="002A5DF6"/>
    <w:rsid w:val="003150AD"/>
    <w:rsid w:val="0032678F"/>
    <w:rsid w:val="0034012B"/>
    <w:rsid w:val="003507F6"/>
    <w:rsid w:val="0035307A"/>
    <w:rsid w:val="0036290B"/>
    <w:rsid w:val="00362D11"/>
    <w:rsid w:val="003A659C"/>
    <w:rsid w:val="00520FBC"/>
    <w:rsid w:val="00537C1C"/>
    <w:rsid w:val="00555881"/>
    <w:rsid w:val="00560267"/>
    <w:rsid w:val="00583445"/>
    <w:rsid w:val="00584AE0"/>
    <w:rsid w:val="005A4606"/>
    <w:rsid w:val="005A4A48"/>
    <w:rsid w:val="005F103A"/>
    <w:rsid w:val="00686942"/>
    <w:rsid w:val="0069343F"/>
    <w:rsid w:val="00754B14"/>
    <w:rsid w:val="0076078B"/>
    <w:rsid w:val="00776FF9"/>
    <w:rsid w:val="007771C7"/>
    <w:rsid w:val="0078495E"/>
    <w:rsid w:val="007A0A6A"/>
    <w:rsid w:val="007A157B"/>
    <w:rsid w:val="007C37EB"/>
    <w:rsid w:val="007E7C66"/>
    <w:rsid w:val="00830147"/>
    <w:rsid w:val="008371CE"/>
    <w:rsid w:val="00845B36"/>
    <w:rsid w:val="00880993"/>
    <w:rsid w:val="00885D6F"/>
    <w:rsid w:val="008974D3"/>
    <w:rsid w:val="008B2C59"/>
    <w:rsid w:val="008D096E"/>
    <w:rsid w:val="008E39BB"/>
    <w:rsid w:val="008E3CE3"/>
    <w:rsid w:val="009A7C32"/>
    <w:rsid w:val="009B471D"/>
    <w:rsid w:val="00A16B3C"/>
    <w:rsid w:val="00A7184E"/>
    <w:rsid w:val="00A76056"/>
    <w:rsid w:val="00A76984"/>
    <w:rsid w:val="00AB5743"/>
    <w:rsid w:val="00B075CE"/>
    <w:rsid w:val="00BE2A81"/>
    <w:rsid w:val="00C53EC3"/>
    <w:rsid w:val="00CA33EE"/>
    <w:rsid w:val="00CD4913"/>
    <w:rsid w:val="00CE395B"/>
    <w:rsid w:val="00D20F9E"/>
    <w:rsid w:val="00D737EC"/>
    <w:rsid w:val="00D91FB8"/>
    <w:rsid w:val="00DD19D3"/>
    <w:rsid w:val="00DF1E8A"/>
    <w:rsid w:val="00E23FF6"/>
    <w:rsid w:val="00F10CAD"/>
    <w:rsid w:val="00F247F5"/>
    <w:rsid w:val="00F50C79"/>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8344A3"/>
  <w14:defaultImageDpi w14:val="32767"/>
  <w15:chartTrackingRefBased/>
  <w15:docId w15:val="{C4B5056A-88BF-5847-9EEC-27EE011E8D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E3CE3"/>
    <w:rPr>
      <w:rFonts w:ascii="Times New Roman" w:eastAsia="Times New Roman" w:hAnsi="Times New Roman" w:cs="Times New Roman"/>
      <w:lang w:val="fr-CH" w:eastAsia="fr-FR"/>
    </w:rPr>
  </w:style>
  <w:style w:type="paragraph" w:styleId="Titre3">
    <w:name w:val="heading 3"/>
    <w:basedOn w:val="Normal"/>
    <w:link w:val="Titre3Car"/>
    <w:uiPriority w:val="9"/>
    <w:qFormat/>
    <w:rsid w:val="008E3CE3"/>
    <w:pPr>
      <w:spacing w:before="100" w:beforeAutospacing="1" w:after="100" w:afterAutospacing="1"/>
      <w:outlineLvl w:val="2"/>
    </w:pPr>
    <w:rPr>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unhideWhenUsed/>
    <w:rsid w:val="001951B4"/>
    <w:pPr>
      <w:tabs>
        <w:tab w:val="center" w:pos="4536"/>
        <w:tab w:val="right" w:pos="9072"/>
      </w:tabs>
    </w:pPr>
    <w:rPr>
      <w:rFonts w:asciiTheme="minorHAnsi" w:eastAsiaTheme="minorHAnsi" w:hAnsiTheme="minorHAnsi" w:cstheme="minorBidi"/>
      <w:lang w:val="fr-FR" w:eastAsia="en-US"/>
    </w:rPr>
  </w:style>
  <w:style w:type="character" w:customStyle="1" w:styleId="PieddepageCar">
    <w:name w:val="Pied de page Car"/>
    <w:basedOn w:val="Policepardfaut"/>
    <w:link w:val="Pieddepage"/>
    <w:uiPriority w:val="99"/>
    <w:rsid w:val="001951B4"/>
  </w:style>
  <w:style w:type="character" w:styleId="Numrodepage">
    <w:name w:val="page number"/>
    <w:basedOn w:val="Policepardfaut"/>
    <w:uiPriority w:val="99"/>
    <w:semiHidden/>
    <w:unhideWhenUsed/>
    <w:rsid w:val="001951B4"/>
  </w:style>
  <w:style w:type="paragraph" w:styleId="En-tte">
    <w:name w:val="header"/>
    <w:basedOn w:val="Normal"/>
    <w:link w:val="En-tteCar"/>
    <w:uiPriority w:val="99"/>
    <w:unhideWhenUsed/>
    <w:rsid w:val="001951B4"/>
    <w:pPr>
      <w:tabs>
        <w:tab w:val="center" w:pos="4536"/>
        <w:tab w:val="right" w:pos="9072"/>
      </w:tabs>
    </w:pPr>
    <w:rPr>
      <w:rFonts w:asciiTheme="minorHAnsi" w:eastAsiaTheme="minorHAnsi" w:hAnsiTheme="minorHAnsi" w:cstheme="minorBidi"/>
      <w:lang w:val="fr-FR" w:eastAsia="en-US"/>
    </w:rPr>
  </w:style>
  <w:style w:type="character" w:customStyle="1" w:styleId="En-tteCar">
    <w:name w:val="En-tête Car"/>
    <w:basedOn w:val="Policepardfaut"/>
    <w:link w:val="En-tte"/>
    <w:uiPriority w:val="99"/>
    <w:rsid w:val="001951B4"/>
  </w:style>
  <w:style w:type="paragraph" w:styleId="Textedebulles">
    <w:name w:val="Balloon Text"/>
    <w:basedOn w:val="Normal"/>
    <w:link w:val="TextedebullesCar"/>
    <w:uiPriority w:val="99"/>
    <w:semiHidden/>
    <w:unhideWhenUsed/>
    <w:rsid w:val="003507F6"/>
    <w:rPr>
      <w:sz w:val="18"/>
      <w:szCs w:val="18"/>
    </w:rPr>
  </w:style>
  <w:style w:type="character" w:customStyle="1" w:styleId="TextedebullesCar">
    <w:name w:val="Texte de bulles Car"/>
    <w:basedOn w:val="Policepardfaut"/>
    <w:link w:val="Textedebulles"/>
    <w:uiPriority w:val="99"/>
    <w:semiHidden/>
    <w:rsid w:val="003507F6"/>
    <w:rPr>
      <w:rFonts w:ascii="Times New Roman" w:hAnsi="Times New Roman" w:cs="Times New Roman"/>
      <w:sz w:val="18"/>
      <w:szCs w:val="18"/>
    </w:rPr>
  </w:style>
  <w:style w:type="character" w:styleId="Marquedecommentaire">
    <w:name w:val="annotation reference"/>
    <w:basedOn w:val="Policepardfaut"/>
    <w:uiPriority w:val="99"/>
    <w:semiHidden/>
    <w:unhideWhenUsed/>
    <w:rsid w:val="00DF1E8A"/>
    <w:rPr>
      <w:sz w:val="16"/>
      <w:szCs w:val="16"/>
    </w:rPr>
  </w:style>
  <w:style w:type="paragraph" w:styleId="Commentaire">
    <w:name w:val="annotation text"/>
    <w:basedOn w:val="Normal"/>
    <w:link w:val="CommentaireCar"/>
    <w:uiPriority w:val="99"/>
    <w:semiHidden/>
    <w:unhideWhenUsed/>
    <w:rsid w:val="00DF1E8A"/>
    <w:rPr>
      <w:rFonts w:asciiTheme="minorHAnsi" w:eastAsiaTheme="minorHAnsi" w:hAnsiTheme="minorHAnsi" w:cstheme="minorBidi"/>
      <w:sz w:val="20"/>
      <w:szCs w:val="20"/>
      <w:lang w:val="fr-FR" w:eastAsia="en-US"/>
    </w:rPr>
  </w:style>
  <w:style w:type="character" w:customStyle="1" w:styleId="CommentaireCar">
    <w:name w:val="Commentaire Car"/>
    <w:basedOn w:val="Policepardfaut"/>
    <w:link w:val="Commentaire"/>
    <w:uiPriority w:val="99"/>
    <w:semiHidden/>
    <w:rsid w:val="00DF1E8A"/>
    <w:rPr>
      <w:sz w:val="20"/>
      <w:szCs w:val="20"/>
    </w:rPr>
  </w:style>
  <w:style w:type="paragraph" w:styleId="Objetducommentaire">
    <w:name w:val="annotation subject"/>
    <w:basedOn w:val="Commentaire"/>
    <w:next w:val="Commentaire"/>
    <w:link w:val="ObjetducommentaireCar"/>
    <w:uiPriority w:val="99"/>
    <w:semiHidden/>
    <w:unhideWhenUsed/>
    <w:rsid w:val="00DF1E8A"/>
    <w:rPr>
      <w:b/>
      <w:bCs/>
    </w:rPr>
  </w:style>
  <w:style w:type="character" w:customStyle="1" w:styleId="ObjetducommentaireCar">
    <w:name w:val="Objet du commentaire Car"/>
    <w:basedOn w:val="CommentaireCar"/>
    <w:link w:val="Objetducommentaire"/>
    <w:uiPriority w:val="99"/>
    <w:semiHidden/>
    <w:rsid w:val="00DF1E8A"/>
    <w:rPr>
      <w:b/>
      <w:bCs/>
      <w:sz w:val="20"/>
      <w:szCs w:val="20"/>
    </w:rPr>
  </w:style>
  <w:style w:type="paragraph" w:styleId="Bibliographie">
    <w:name w:val="Bibliography"/>
    <w:basedOn w:val="Normal"/>
    <w:next w:val="Normal"/>
    <w:uiPriority w:val="37"/>
    <w:unhideWhenUsed/>
    <w:rsid w:val="00F247F5"/>
    <w:pPr>
      <w:jc w:val="both"/>
    </w:pPr>
    <w:rPr>
      <w:rFonts w:ascii="Arial" w:hAnsi="Arial"/>
      <w:sz w:val="22"/>
      <w:szCs w:val="22"/>
    </w:rPr>
  </w:style>
  <w:style w:type="paragraph" w:styleId="Corpsdetexte">
    <w:name w:val="Body Text"/>
    <w:basedOn w:val="Normal"/>
    <w:link w:val="CorpsdetexteCar"/>
    <w:rsid w:val="00A7184E"/>
    <w:pPr>
      <w:widowControl w:val="0"/>
      <w:suppressAutoHyphens/>
      <w:autoSpaceDE w:val="0"/>
      <w:autoSpaceDN w:val="0"/>
      <w:spacing w:after="120"/>
    </w:pPr>
    <w:rPr>
      <w:rFonts w:ascii="Bitstream Charter" w:eastAsia="Bitstream Vera Sans" w:hAnsi="Bitstream Charter"/>
      <w:sz w:val="20"/>
      <w:szCs w:val="22"/>
      <w:lang w:val="fr-FR"/>
    </w:rPr>
  </w:style>
  <w:style w:type="character" w:customStyle="1" w:styleId="CorpsdetexteCar">
    <w:name w:val="Corps de texte Car"/>
    <w:basedOn w:val="Policepardfaut"/>
    <w:link w:val="Corpsdetexte"/>
    <w:rsid w:val="00A7184E"/>
    <w:rPr>
      <w:rFonts w:ascii="Bitstream Charter" w:eastAsia="Bitstream Vera Sans" w:hAnsi="Bitstream Charter" w:cs="Times New Roman"/>
      <w:sz w:val="20"/>
      <w:szCs w:val="22"/>
      <w:lang w:eastAsia="fr-FR"/>
    </w:rPr>
  </w:style>
  <w:style w:type="character" w:customStyle="1" w:styleId="bluemilk">
    <w:name w:val="blue_milk"/>
    <w:basedOn w:val="Policepardfaut"/>
    <w:rsid w:val="00555881"/>
  </w:style>
  <w:style w:type="character" w:customStyle="1" w:styleId="uppercase">
    <w:name w:val="uppercase"/>
    <w:basedOn w:val="Policepardfaut"/>
    <w:rsid w:val="00555881"/>
  </w:style>
  <w:style w:type="paragraph" w:styleId="Paragraphedeliste">
    <w:name w:val="List Paragraph"/>
    <w:basedOn w:val="Normal"/>
    <w:uiPriority w:val="34"/>
    <w:qFormat/>
    <w:rsid w:val="0069343F"/>
    <w:pPr>
      <w:ind w:left="720"/>
      <w:contextualSpacing/>
    </w:pPr>
    <w:rPr>
      <w:rFonts w:asciiTheme="minorHAnsi" w:eastAsiaTheme="minorHAnsi" w:hAnsiTheme="minorHAnsi" w:cstheme="minorBidi"/>
      <w:lang w:val="fr-FR" w:eastAsia="en-US"/>
    </w:rPr>
  </w:style>
  <w:style w:type="character" w:customStyle="1" w:styleId="Titre3Car">
    <w:name w:val="Titre 3 Car"/>
    <w:basedOn w:val="Policepardfaut"/>
    <w:link w:val="Titre3"/>
    <w:uiPriority w:val="9"/>
    <w:rsid w:val="008E3CE3"/>
    <w:rPr>
      <w:rFonts w:ascii="Times New Roman" w:eastAsia="Times New Roman" w:hAnsi="Times New Roman" w:cs="Times New Roman"/>
      <w:b/>
      <w:bCs/>
      <w:sz w:val="27"/>
      <w:szCs w:val="27"/>
      <w:lang w:val="fr-CH" w:eastAsia="fr-FR"/>
    </w:rPr>
  </w:style>
  <w:style w:type="character" w:styleId="Lienhypertexte">
    <w:name w:val="Hyperlink"/>
    <w:basedOn w:val="Policepardfaut"/>
    <w:uiPriority w:val="99"/>
    <w:semiHidden/>
    <w:unhideWhenUsed/>
    <w:rsid w:val="008E3CE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08665765">
      <w:bodyDiv w:val="1"/>
      <w:marLeft w:val="0"/>
      <w:marRight w:val="0"/>
      <w:marTop w:val="0"/>
      <w:marBottom w:val="0"/>
      <w:divBdr>
        <w:top w:val="none" w:sz="0" w:space="0" w:color="auto"/>
        <w:left w:val="none" w:sz="0" w:space="0" w:color="auto"/>
        <w:bottom w:val="none" w:sz="0" w:space="0" w:color="auto"/>
        <w:right w:val="none" w:sz="0" w:space="0" w:color="auto"/>
      </w:divBdr>
      <w:divsChild>
        <w:div w:id="1807746653">
          <w:marLeft w:val="0"/>
          <w:marRight w:val="0"/>
          <w:marTop w:val="0"/>
          <w:marBottom w:val="0"/>
          <w:divBdr>
            <w:top w:val="none" w:sz="0" w:space="0" w:color="auto"/>
            <w:left w:val="none" w:sz="0" w:space="0" w:color="auto"/>
            <w:bottom w:val="none" w:sz="0" w:space="0" w:color="auto"/>
            <w:right w:val="none" w:sz="0" w:space="0" w:color="auto"/>
          </w:divBdr>
        </w:div>
      </w:divsChild>
    </w:div>
    <w:div w:id="1678075025">
      <w:bodyDiv w:val="1"/>
      <w:marLeft w:val="0"/>
      <w:marRight w:val="0"/>
      <w:marTop w:val="0"/>
      <w:marBottom w:val="0"/>
      <w:divBdr>
        <w:top w:val="none" w:sz="0" w:space="0" w:color="auto"/>
        <w:left w:val="none" w:sz="0" w:space="0" w:color="auto"/>
        <w:bottom w:val="none" w:sz="0" w:space="0" w:color="auto"/>
        <w:right w:val="none" w:sz="0" w:space="0" w:color="auto"/>
      </w:divBdr>
      <w:divsChild>
        <w:div w:id="593636775">
          <w:marLeft w:val="0"/>
          <w:marRight w:val="0"/>
          <w:marTop w:val="0"/>
          <w:marBottom w:val="0"/>
          <w:divBdr>
            <w:top w:val="none" w:sz="0" w:space="0" w:color="auto"/>
            <w:left w:val="none" w:sz="0" w:space="0" w:color="auto"/>
            <w:bottom w:val="none" w:sz="0" w:space="0" w:color="auto"/>
            <w:right w:val="none" w:sz="0" w:space="0" w:color="auto"/>
          </w:divBdr>
        </w:div>
        <w:div w:id="2052456695">
          <w:marLeft w:val="0"/>
          <w:marRight w:val="0"/>
          <w:marTop w:val="0"/>
          <w:marBottom w:val="0"/>
          <w:divBdr>
            <w:top w:val="none" w:sz="0" w:space="0" w:color="auto"/>
            <w:left w:val="none" w:sz="0" w:space="0" w:color="auto"/>
            <w:bottom w:val="none" w:sz="0" w:space="0" w:color="auto"/>
            <w:right w:val="none" w:sz="0" w:space="0" w:color="auto"/>
          </w:divBdr>
        </w:div>
        <w:div w:id="159662499">
          <w:marLeft w:val="0"/>
          <w:marRight w:val="0"/>
          <w:marTop w:val="0"/>
          <w:marBottom w:val="0"/>
          <w:divBdr>
            <w:top w:val="none" w:sz="0" w:space="0" w:color="auto"/>
            <w:left w:val="none" w:sz="0" w:space="0" w:color="auto"/>
            <w:bottom w:val="none" w:sz="0" w:space="0" w:color="auto"/>
            <w:right w:val="none" w:sz="0" w:space="0" w:color="auto"/>
          </w:divBdr>
        </w:div>
        <w:div w:id="804129590">
          <w:marLeft w:val="0"/>
          <w:marRight w:val="0"/>
          <w:marTop w:val="0"/>
          <w:marBottom w:val="0"/>
          <w:divBdr>
            <w:top w:val="none" w:sz="0" w:space="0" w:color="auto"/>
            <w:left w:val="none" w:sz="0" w:space="0" w:color="auto"/>
            <w:bottom w:val="none" w:sz="0" w:space="0" w:color="auto"/>
            <w:right w:val="none" w:sz="0" w:space="0" w:color="auto"/>
          </w:divBdr>
        </w:div>
        <w:div w:id="786503912">
          <w:marLeft w:val="0"/>
          <w:marRight w:val="0"/>
          <w:marTop w:val="0"/>
          <w:marBottom w:val="0"/>
          <w:divBdr>
            <w:top w:val="none" w:sz="0" w:space="0" w:color="auto"/>
            <w:left w:val="none" w:sz="0" w:space="0" w:color="auto"/>
            <w:bottom w:val="none" w:sz="0" w:space="0" w:color="auto"/>
            <w:right w:val="none" w:sz="0" w:space="0" w:color="auto"/>
          </w:divBdr>
        </w:div>
        <w:div w:id="2295077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Bureau">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DB09A2-7B43-8644-B861-EEE850204D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114</TotalTime>
  <Pages>2</Pages>
  <Words>766</Words>
  <Characters>4214</Characters>
  <Application>Microsoft Office Word</Application>
  <DocSecurity>0</DocSecurity>
  <Lines>35</Lines>
  <Paragraphs>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MARCO</dc:creator>
  <cp:keywords/>
  <dc:description/>
  <cp:lastModifiedBy>MARCO</cp:lastModifiedBy>
  <cp:revision>25</cp:revision>
  <dcterms:created xsi:type="dcterms:W3CDTF">2018-11-18T17:22:00Z</dcterms:created>
  <dcterms:modified xsi:type="dcterms:W3CDTF">2018-11-22T20:55:00Z</dcterms:modified>
</cp:coreProperties>
</file>